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E273D" w:rsidRDefault="006E273D">
      <w:pPr>
        <w:widowControl/>
        <w:spacing w:line="1200" w:lineRule="exact"/>
        <w:jc w:val="center"/>
        <w:rPr>
          <w:rFonts w:asciiTheme="minorEastAsia" w:eastAsiaTheme="minorEastAsia" w:hAnsi="宋体"/>
          <w:color w:val="000000" w:themeColor="text1"/>
          <w:sz w:val="96"/>
          <w:szCs w:val="96"/>
        </w:rPr>
      </w:pPr>
    </w:p>
    <w:p w:rsidR="006E273D" w:rsidRDefault="006E273D">
      <w:pPr>
        <w:widowControl/>
        <w:spacing w:line="1200" w:lineRule="exact"/>
        <w:jc w:val="center"/>
        <w:rPr>
          <w:rFonts w:asciiTheme="minorEastAsia" w:eastAsiaTheme="minorEastAsia" w:hAnsi="宋体"/>
          <w:color w:val="000000" w:themeColor="text1"/>
          <w:sz w:val="96"/>
          <w:szCs w:val="96"/>
        </w:rPr>
      </w:pPr>
    </w:p>
    <w:p w:rsidR="006E273D" w:rsidRDefault="00724371">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rsidR="006E273D" w:rsidRDefault="006E273D">
      <w:pPr>
        <w:widowControl/>
        <w:jc w:val="center"/>
        <w:rPr>
          <w:rFonts w:asciiTheme="minorEastAsia" w:eastAsiaTheme="minorEastAsia" w:hAnsi="宋体"/>
          <w:color w:val="002060"/>
          <w:sz w:val="72"/>
          <w:szCs w:val="72"/>
        </w:rPr>
      </w:pPr>
    </w:p>
    <w:p w:rsidR="006E273D" w:rsidRDefault="006E273D">
      <w:pPr>
        <w:widowControl/>
        <w:jc w:val="center"/>
        <w:rPr>
          <w:rFonts w:asciiTheme="minorEastAsia" w:eastAsiaTheme="minorEastAsia" w:hAnsiTheme="minorEastAsia"/>
          <w:b/>
          <w:sz w:val="72"/>
          <w:szCs w:val="72"/>
        </w:rPr>
      </w:pPr>
    </w:p>
    <w:p w:rsidR="006E273D" w:rsidRDefault="006E273D">
      <w:pPr>
        <w:widowControl/>
        <w:jc w:val="center"/>
        <w:rPr>
          <w:rFonts w:asciiTheme="minorEastAsia" w:eastAsiaTheme="minorEastAsia" w:hAnsiTheme="minorEastAsia"/>
          <w:b/>
          <w:sz w:val="72"/>
          <w:szCs w:val="72"/>
        </w:rPr>
      </w:pPr>
    </w:p>
    <w:p w:rsidR="006E273D" w:rsidRDefault="006E273D">
      <w:pPr>
        <w:widowControl/>
        <w:jc w:val="center"/>
        <w:rPr>
          <w:rFonts w:asciiTheme="minorEastAsia" w:eastAsiaTheme="minorEastAsia" w:hAnsiTheme="minorEastAsia"/>
          <w:b/>
          <w:sz w:val="72"/>
          <w:szCs w:val="72"/>
        </w:rPr>
      </w:pPr>
    </w:p>
    <w:p w:rsidR="006E273D" w:rsidRDefault="006E273D">
      <w:pPr>
        <w:widowControl/>
        <w:jc w:val="center"/>
        <w:rPr>
          <w:rFonts w:asciiTheme="minorEastAsia" w:eastAsiaTheme="minorEastAsia" w:hAnsiTheme="minorEastAsia"/>
          <w:b/>
          <w:sz w:val="72"/>
          <w:szCs w:val="72"/>
        </w:rPr>
      </w:pPr>
    </w:p>
    <w:p w:rsidR="006E273D" w:rsidRDefault="006E273D">
      <w:pPr>
        <w:widowControl/>
        <w:jc w:val="center"/>
        <w:rPr>
          <w:rFonts w:asciiTheme="minorEastAsia" w:eastAsiaTheme="minorEastAsia" w:hAnsiTheme="minorEastAsia"/>
          <w:b/>
          <w:sz w:val="72"/>
          <w:szCs w:val="72"/>
        </w:rPr>
      </w:pPr>
    </w:p>
    <w:p w:rsidR="006E273D" w:rsidRDefault="00724371">
      <w:pPr>
        <w:widowControl/>
        <w:jc w:val="center"/>
        <w:rPr>
          <w:rFonts w:ascii="楷体" w:eastAsia="楷体" w:hAnsi="楷体" w:cs="楷体"/>
          <w:b/>
          <w:sz w:val="44"/>
          <w:szCs w:val="44"/>
        </w:rPr>
        <w:sectPr w:rsidR="006E273D">
          <w:pgSz w:w="11906" w:h="16838"/>
          <w:pgMar w:top="2098" w:right="1474" w:bottom="1985" w:left="1588" w:header="851" w:footer="992" w:gutter="0"/>
          <w:cols w:space="425"/>
          <w:docGrid w:type="lines" w:linePitch="312"/>
        </w:sectPr>
      </w:pPr>
      <w:r>
        <w:rPr>
          <w:rFonts w:hint="eastAsia"/>
          <w:b/>
          <w:sz w:val="44"/>
          <w:szCs w:val="44"/>
        </w:rPr>
        <w:t>廊坊市中共大厂回族自治县纪律检查委员会</w:t>
      </w:r>
    </w:p>
    <w:p w:rsidR="006E273D" w:rsidRDefault="00724371" w:rsidP="008658E1">
      <w:pPr>
        <w:spacing w:beforeLines="200"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hint="eastAsia"/>
          <w:sz w:val="48"/>
          <w:szCs w:val="48"/>
        </w:rPr>
        <w:t xml:space="preserve">    </w:t>
      </w:r>
      <w:r>
        <w:rPr>
          <w:rFonts w:ascii="黑体" w:eastAsia="黑体" w:hint="eastAsia"/>
          <w:sz w:val="48"/>
          <w:szCs w:val="48"/>
        </w:rPr>
        <w:t>录</w:t>
      </w:r>
    </w:p>
    <w:p w:rsidR="006E273D" w:rsidRDefault="006E273D">
      <w:pPr>
        <w:widowControl/>
        <w:spacing w:line="580" w:lineRule="exact"/>
        <w:ind w:firstLineChars="200" w:firstLine="640"/>
        <w:rPr>
          <w:rFonts w:eastAsia="黑体"/>
          <w:sz w:val="32"/>
          <w:szCs w:val="32"/>
        </w:rPr>
      </w:pPr>
    </w:p>
    <w:p w:rsidR="006E273D" w:rsidRDefault="00724371">
      <w:pPr>
        <w:widowControl/>
        <w:spacing w:line="580" w:lineRule="exact"/>
        <w:ind w:firstLineChars="200" w:firstLine="640"/>
        <w:rPr>
          <w:rFonts w:eastAsia="仿宋_GB2312"/>
          <w:sz w:val="24"/>
          <w:szCs w:val="32"/>
        </w:rPr>
      </w:pPr>
      <w:r>
        <w:rPr>
          <w:rFonts w:eastAsia="黑体"/>
          <w:sz w:val="32"/>
          <w:szCs w:val="32"/>
        </w:rPr>
        <w:t>第一部分</w:t>
      </w:r>
      <w:r>
        <w:rPr>
          <w:rFonts w:eastAsia="黑体" w:hint="eastAsia"/>
          <w:sz w:val="32"/>
          <w:szCs w:val="32"/>
        </w:rPr>
        <w:t xml:space="preserve">   </w:t>
      </w:r>
      <w:r>
        <w:rPr>
          <w:rFonts w:eastAsia="黑体"/>
          <w:sz w:val="32"/>
          <w:szCs w:val="32"/>
        </w:rPr>
        <w:t>部门概况</w:t>
      </w:r>
    </w:p>
    <w:p w:rsidR="006E273D" w:rsidRDefault="00724371" w:rsidP="008658E1">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6E273D" w:rsidRDefault="00724371" w:rsidP="008658E1">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6E273D" w:rsidRDefault="00724371">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6E273D" w:rsidRDefault="00724371">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6E273D" w:rsidRDefault="00724371">
      <w:pPr>
        <w:widowControl/>
        <w:spacing w:line="580" w:lineRule="exact"/>
        <w:ind w:left="640" w:firstLineChars="200" w:firstLine="640"/>
        <w:rPr>
          <w:rFonts w:eastAsia="仿宋_GB2312"/>
          <w:sz w:val="32"/>
          <w:szCs w:val="32"/>
        </w:rPr>
      </w:pPr>
      <w:r>
        <w:rPr>
          <w:rFonts w:eastAsia="仿宋_GB2312"/>
          <w:sz w:val="32"/>
          <w:szCs w:val="32"/>
        </w:rPr>
        <w:t>二、收入决算表</w:t>
      </w:r>
    </w:p>
    <w:p w:rsidR="006E273D" w:rsidRDefault="00724371">
      <w:pPr>
        <w:widowControl/>
        <w:spacing w:line="580" w:lineRule="exact"/>
        <w:ind w:left="640" w:firstLineChars="200" w:firstLine="640"/>
        <w:rPr>
          <w:rFonts w:eastAsia="仿宋_GB2312"/>
          <w:sz w:val="32"/>
          <w:szCs w:val="32"/>
        </w:rPr>
      </w:pPr>
      <w:r>
        <w:rPr>
          <w:rFonts w:eastAsia="仿宋_GB2312"/>
          <w:sz w:val="32"/>
          <w:szCs w:val="32"/>
        </w:rPr>
        <w:t>三、支出决算表</w:t>
      </w:r>
    </w:p>
    <w:p w:rsidR="006E273D" w:rsidRDefault="00724371">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6E273D" w:rsidRDefault="00724371">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6E273D" w:rsidRDefault="00724371">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6E273D" w:rsidRDefault="00724371">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6E273D" w:rsidRDefault="00724371">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6E273D" w:rsidRDefault="00724371">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6E273D" w:rsidRDefault="00724371">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6E273D" w:rsidRDefault="006E273D">
      <w:pPr>
        <w:widowControl/>
        <w:spacing w:line="580" w:lineRule="exact"/>
        <w:ind w:firstLineChars="200" w:firstLine="640"/>
        <w:rPr>
          <w:rFonts w:eastAsia="黑体"/>
          <w:sz w:val="32"/>
          <w:szCs w:val="32"/>
        </w:rPr>
      </w:pPr>
    </w:p>
    <w:p w:rsidR="006E273D" w:rsidRDefault="00724371">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中国共产党大厂回族自治县纪律检查委员会</w:t>
      </w:r>
      <w:r>
        <w:rPr>
          <w:rFonts w:eastAsia="黑体"/>
          <w:sz w:val="32"/>
          <w:szCs w:val="32"/>
        </w:rPr>
        <w:t>201</w:t>
      </w:r>
      <w:r>
        <w:rPr>
          <w:rFonts w:eastAsia="黑体" w:hint="eastAsia"/>
          <w:sz w:val="32"/>
          <w:szCs w:val="32"/>
        </w:rPr>
        <w:t>8</w:t>
      </w:r>
      <w:r>
        <w:rPr>
          <w:rFonts w:eastAsia="黑体"/>
          <w:sz w:val="32"/>
          <w:szCs w:val="32"/>
        </w:rPr>
        <w:t>年部门决算情况说明</w:t>
      </w:r>
    </w:p>
    <w:p w:rsidR="006E273D" w:rsidRDefault="00724371">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6E273D" w:rsidRDefault="00724371">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6E273D" w:rsidRDefault="00724371">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6E273D" w:rsidRDefault="00724371">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6E273D" w:rsidRDefault="00724371">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6E273D" w:rsidRDefault="00724371">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6E273D" w:rsidRDefault="00724371">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6E273D" w:rsidRDefault="00724371">
      <w:pPr>
        <w:widowControl/>
        <w:spacing w:line="580" w:lineRule="exact"/>
        <w:ind w:firstLineChars="200" w:firstLine="640"/>
        <w:rPr>
          <w:rFonts w:eastAsia="黑体"/>
          <w:sz w:val="32"/>
          <w:szCs w:val="32"/>
        </w:rPr>
      </w:pPr>
      <w:r>
        <w:rPr>
          <w:rFonts w:eastAsia="黑体"/>
          <w:sz w:val="32"/>
          <w:szCs w:val="32"/>
        </w:rPr>
        <w:t>第四部分</w:t>
      </w:r>
      <w:r>
        <w:rPr>
          <w:rFonts w:eastAsia="黑体" w:hint="eastAsia"/>
          <w:sz w:val="32"/>
          <w:szCs w:val="32"/>
        </w:rPr>
        <w:t xml:space="preserve">  </w:t>
      </w:r>
      <w:bookmarkStart w:id="0" w:name="_GoBack"/>
      <w:bookmarkEnd w:id="0"/>
      <w:r>
        <w:rPr>
          <w:rFonts w:eastAsia="黑体"/>
          <w:sz w:val="32"/>
          <w:szCs w:val="32"/>
        </w:rPr>
        <w:t>名词解释</w:t>
      </w:r>
    </w:p>
    <w:p w:rsidR="006E273D" w:rsidRDefault="006E273D">
      <w:pPr>
        <w:widowControl/>
        <w:spacing w:line="580" w:lineRule="exact"/>
        <w:ind w:firstLineChars="200" w:firstLine="640"/>
        <w:rPr>
          <w:rFonts w:eastAsia="黑体"/>
          <w:sz w:val="32"/>
          <w:szCs w:val="32"/>
        </w:rPr>
      </w:pPr>
    </w:p>
    <w:p w:rsidR="006E273D" w:rsidRDefault="006E273D">
      <w:pPr>
        <w:widowControl/>
        <w:spacing w:line="580" w:lineRule="exact"/>
        <w:ind w:firstLineChars="200" w:firstLine="640"/>
        <w:rPr>
          <w:rFonts w:eastAsia="黑体"/>
          <w:sz w:val="32"/>
          <w:szCs w:val="32"/>
        </w:rPr>
      </w:pPr>
    </w:p>
    <w:p w:rsidR="006E273D" w:rsidRDefault="006E273D">
      <w:pPr>
        <w:widowControl/>
        <w:spacing w:line="580" w:lineRule="exact"/>
        <w:ind w:firstLineChars="200" w:firstLine="640"/>
        <w:rPr>
          <w:rFonts w:eastAsia="黑体"/>
          <w:sz w:val="32"/>
          <w:szCs w:val="32"/>
        </w:rPr>
      </w:pPr>
    </w:p>
    <w:p w:rsidR="006E273D" w:rsidRDefault="006E273D">
      <w:pPr>
        <w:widowControl/>
        <w:spacing w:line="580" w:lineRule="exact"/>
        <w:ind w:firstLineChars="200" w:firstLine="640"/>
        <w:rPr>
          <w:rFonts w:eastAsia="黑体"/>
          <w:sz w:val="32"/>
          <w:szCs w:val="32"/>
        </w:rPr>
      </w:pPr>
    </w:p>
    <w:p w:rsidR="006E273D" w:rsidRDefault="00724371">
      <w:r>
        <w:br w:type="page"/>
      </w:r>
    </w:p>
    <w:p w:rsidR="006E273D" w:rsidRDefault="006E273D"/>
    <w:p w:rsidR="006E273D" w:rsidRDefault="006E273D"/>
    <w:p w:rsidR="006E273D" w:rsidRDefault="006E273D"/>
    <w:p w:rsidR="006E273D" w:rsidRDefault="006E273D"/>
    <w:p w:rsidR="006E273D" w:rsidRDefault="006E273D"/>
    <w:p w:rsidR="006E273D" w:rsidRDefault="006E273D"/>
    <w:p w:rsidR="006E273D" w:rsidRDefault="00724371">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w:t>
      </w:r>
      <w:r>
        <w:rPr>
          <w:rFonts w:asciiTheme="minorEastAsia" w:eastAsiaTheme="minorEastAsia" w:hAnsi="宋体" w:hint="eastAsia"/>
          <w:color w:val="000000" w:themeColor="text1"/>
          <w:sz w:val="96"/>
          <w:szCs w:val="96"/>
        </w:rPr>
        <w:t xml:space="preserve">  </w:t>
      </w:r>
      <w:r>
        <w:rPr>
          <w:rFonts w:asciiTheme="minorEastAsia" w:eastAsiaTheme="minorEastAsia" w:hAnsi="宋体" w:hint="eastAsia"/>
          <w:color w:val="000000" w:themeColor="text1"/>
          <w:sz w:val="96"/>
          <w:szCs w:val="96"/>
        </w:rPr>
        <w:t>部门概况</w:t>
      </w:r>
    </w:p>
    <w:p w:rsidR="006E273D" w:rsidRDefault="006E273D"/>
    <w:p w:rsidR="006E273D" w:rsidRDefault="006E273D"/>
    <w:p w:rsidR="006E273D" w:rsidRDefault="006E273D"/>
    <w:p w:rsidR="006E273D" w:rsidRDefault="006E273D"/>
    <w:p w:rsidR="006E273D" w:rsidRDefault="006E273D"/>
    <w:p w:rsidR="006E273D" w:rsidRDefault="006E273D"/>
    <w:p w:rsidR="006E273D" w:rsidRDefault="006E273D"/>
    <w:p w:rsidR="006E273D" w:rsidRDefault="006E273D"/>
    <w:p w:rsidR="006E273D" w:rsidRDefault="00724371">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6E273D" w:rsidRDefault="00724371">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县纪委监委的主要职责是：</w:t>
      </w:r>
    </w:p>
    <w:p w:rsidR="006E273D" w:rsidRDefault="00724371">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（一）维护党的章程和其他党内法规，检查党的路线、方针政策和决议的执行情况，协助县委加强党风廉政建设和组织协调反腐败工作。</w:t>
      </w:r>
    </w:p>
    <w:p w:rsidR="006E273D" w:rsidRDefault="00724371">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（二）督促全县各级党的组织落实全面从严治党的主体责任，履行对各级党的组织和党员的监督责任。对履行全面从严治党主体责任、监督责任不力、造成严重后果的，提出问责建议。</w:t>
      </w:r>
    </w:p>
    <w:p w:rsidR="006E273D" w:rsidRDefault="00724371">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（三）把党的纪律和规矩挺在前面，运用监督执纪“四种形态”，建立完善党内监督体系。</w:t>
      </w:r>
    </w:p>
    <w:p w:rsidR="006E273D" w:rsidRDefault="00724371">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（四）检查和处理全县各级党的组织和党员违反党的章程和其他党内法规的比较重要或复杂的案件，决定或取消对这些案件中的党员的处分。</w:t>
      </w:r>
    </w:p>
    <w:p w:rsidR="006E273D" w:rsidRDefault="00724371">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（五）对公职人员依</w:t>
      </w:r>
      <w:r>
        <w:rPr>
          <w:rFonts w:ascii="仿宋" w:eastAsia="仿宋" w:hAnsi="仿宋" w:cs="宋体" w:hint="eastAsia"/>
          <w:kern w:val="0"/>
          <w:position w:val="-2"/>
          <w:sz w:val="32"/>
          <w:szCs w:val="32"/>
        </w:rPr>
        <w:t>法履职、秉公用权、廉洁从政从业以及道德操守情况进行监督检查。对涉嫌贪污贿赂、滥用职权、玩忽职守、权力寻租、利益输送、徇私舞弊以及浪费国家资财等职务违法和职务犯罪进行调查。依据相关法律对违法公职人员作出政务处分决定；对在行使职权中存在的问题提出监察建议；对履行职责不力，失职失责人员进行问责；涉嫌职务犯罪的，将调查结果移送检察机关依法提起公诉。</w:t>
      </w:r>
    </w:p>
    <w:p w:rsidR="006E273D" w:rsidRDefault="00724371">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lastRenderedPageBreak/>
        <w:t>（六）受理对党员违反党的纪律和国家法律法规的控告、检举；受理对监察对象职务违法和职务犯罪行为的控告、检举。受理党员的控告和申诉，保障党员的权利；受理监察对象不服主管机关</w:t>
      </w:r>
      <w:r>
        <w:rPr>
          <w:rFonts w:ascii="仿宋" w:eastAsia="仿宋" w:hAnsi="仿宋" w:cs="宋体" w:hint="eastAsia"/>
          <w:kern w:val="0"/>
          <w:position w:val="-2"/>
          <w:sz w:val="32"/>
          <w:szCs w:val="32"/>
        </w:rPr>
        <w:t>给予处置决定的申诉，以及法律法规规定的其他由监察机关受理的申诉等。</w:t>
      </w:r>
    </w:p>
    <w:p w:rsidR="006E273D" w:rsidRDefault="00724371">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七）制定党风党纪教育规划，配合有关部门做好党的纪律检查工作方针、政策的宣传工作和对党员遵守纪律的教育工作；会同有关部门做好监察工作法律法规的宣传工作，开展职务犯罪预防工作，教育公职人员遵纪守法、清廉用权。</w:t>
      </w:r>
    </w:p>
    <w:p w:rsidR="006E273D" w:rsidRDefault="00724371">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（八）对县纪委、监委在党内监督和国家监察中作出的决定进行审查，纠正错误决定。</w:t>
      </w:r>
    </w:p>
    <w:p w:rsidR="006E273D" w:rsidRDefault="00724371">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（九）调查全县党的组织和党员、监察对象遵纪守法情况，研究党风党纪、政风政纪中出现的带有普遍性、倾向性的问题以及监察工作中具体应用法律问题，向有关方面提出相关建</w:t>
      </w:r>
      <w:r>
        <w:rPr>
          <w:rFonts w:ascii="仿宋" w:eastAsia="仿宋" w:hAnsi="仿宋" w:cs="宋体" w:hint="eastAsia"/>
          <w:kern w:val="0"/>
          <w:position w:val="-2"/>
          <w:sz w:val="32"/>
          <w:szCs w:val="32"/>
        </w:rPr>
        <w:t>议；建立完善党内法规、制度，拟定党纪条规和政策规定；制定全县有关监察工作的具体规定、办法和实施细则等地方性规章制度，并组织监督实施。</w:t>
      </w:r>
    </w:p>
    <w:p w:rsidR="006E273D" w:rsidRDefault="00724371">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（十）依法向县人民代表大会及其常务委员会提出议案。</w:t>
      </w:r>
    </w:p>
    <w:p w:rsidR="006E273D" w:rsidRDefault="00724371">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（十一）领导全县纪检监察机关的工作，部署全县纪检监察工作任务；负责全县纪检监察系统的组织建设，按照干部管理权</w:t>
      </w:r>
      <w:r>
        <w:rPr>
          <w:rFonts w:ascii="仿宋" w:eastAsia="仿宋" w:hAnsi="仿宋" w:cs="宋体" w:hint="eastAsia"/>
          <w:kern w:val="0"/>
          <w:position w:val="-2"/>
          <w:sz w:val="32"/>
          <w:szCs w:val="32"/>
        </w:rPr>
        <w:lastRenderedPageBreak/>
        <w:t>限，对镇纪委书记、副书记提名和考察；负责全县纪检监察系统干部教育培训工作。</w:t>
      </w:r>
    </w:p>
    <w:p w:rsidR="006E273D" w:rsidRDefault="00724371">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（十二）承办市纪委、市监委和县委、县人大授权和交办的其它事宜。</w:t>
      </w:r>
    </w:p>
    <w:p w:rsidR="006E273D" w:rsidRDefault="00724371">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6E273D" w:rsidRDefault="00724371">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w:t>
      </w:r>
      <w:r>
        <w:rPr>
          <w:rFonts w:ascii="仿宋_GB2312" w:eastAsia="仿宋_GB2312" w:hAnsiTheme="minorHAnsi" w:cs="ArialUnicodeMS" w:hint="eastAsia"/>
          <w:kern w:val="0"/>
          <w:sz w:val="32"/>
          <w:szCs w:val="32"/>
        </w:rPr>
        <w:t xml:space="preserve">2018 </w:t>
      </w:r>
      <w:r>
        <w:rPr>
          <w:rFonts w:ascii="仿宋_GB2312" w:eastAsia="仿宋_GB2312" w:hAnsiTheme="minorHAnsi" w:cs="ArialUnicodeMS" w:hint="eastAsia"/>
          <w:kern w:val="0"/>
          <w:sz w:val="32"/>
          <w:szCs w:val="32"/>
        </w:rPr>
        <w:t>年度本部门决算汇编范围的独立核算单位（以下简称“单位”）共</w:t>
      </w:r>
      <w:r>
        <w:rPr>
          <w:rFonts w:ascii="仿宋_GB2312" w:eastAsia="仿宋_GB2312" w:hAnsiTheme="minorHAnsi" w:cs="ArialUnicodeMS" w:hint="eastAsia"/>
          <w:kern w:val="0"/>
          <w:sz w:val="32"/>
          <w:szCs w:val="32"/>
        </w:rPr>
        <w:t>1</w:t>
      </w:r>
      <w:r>
        <w:rPr>
          <w:rFonts w:ascii="仿宋_GB2312" w:eastAsia="仿宋_GB2312" w:hAnsiTheme="minorHAnsi" w:cs="ArialUnicodeMS" w:hint="eastAsia"/>
          <w:kern w:val="0"/>
          <w:sz w:val="32"/>
          <w:szCs w:val="32"/>
        </w:rPr>
        <w:t>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6E273D">
        <w:trPr>
          <w:trHeight w:val="811"/>
          <w:jc w:val="center"/>
        </w:trPr>
        <w:tc>
          <w:tcPr>
            <w:tcW w:w="985" w:type="dxa"/>
            <w:vAlign w:val="center"/>
          </w:tcPr>
          <w:p w:rsidR="006E273D" w:rsidRDefault="00724371">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6E273D" w:rsidRDefault="00724371">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6E273D" w:rsidRDefault="00724371">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6E273D" w:rsidRDefault="00724371">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6E273D">
        <w:trPr>
          <w:trHeight w:val="596"/>
          <w:jc w:val="center"/>
        </w:trPr>
        <w:tc>
          <w:tcPr>
            <w:tcW w:w="985" w:type="dxa"/>
          </w:tcPr>
          <w:p w:rsidR="006E273D" w:rsidRDefault="00724371">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6E273D" w:rsidRDefault="00724371">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中国共产党大厂回族自治县纪律检查委员会</w:t>
            </w:r>
            <w:r>
              <w:rPr>
                <w:rFonts w:ascii="仿宋_GB2312" w:eastAsia="仿宋_GB2312" w:hAnsiTheme="minorHAnsi" w:cs="ArialUnicodeMS" w:hint="eastAsia"/>
                <w:kern w:val="0"/>
                <w:sz w:val="28"/>
                <w:szCs w:val="28"/>
              </w:rPr>
              <w:t>(</w:t>
            </w:r>
            <w:r>
              <w:rPr>
                <w:rFonts w:ascii="仿宋_GB2312" w:eastAsia="仿宋_GB2312" w:hAnsiTheme="minorHAnsi" w:cs="ArialUnicodeMS" w:hint="eastAsia"/>
                <w:kern w:val="0"/>
                <w:sz w:val="28"/>
                <w:szCs w:val="28"/>
              </w:rPr>
              <w:t>本级</w:t>
            </w:r>
            <w:r>
              <w:rPr>
                <w:rFonts w:ascii="仿宋_GB2312" w:eastAsia="仿宋_GB2312" w:hAnsiTheme="minorHAnsi" w:cs="ArialUnicodeMS" w:hint="eastAsia"/>
                <w:kern w:val="0"/>
                <w:sz w:val="28"/>
                <w:szCs w:val="28"/>
              </w:rPr>
              <w:t>)</w:t>
            </w:r>
          </w:p>
        </w:tc>
        <w:tc>
          <w:tcPr>
            <w:tcW w:w="2445" w:type="dxa"/>
          </w:tcPr>
          <w:p w:rsidR="006E273D" w:rsidRDefault="00724371">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行政单位</w:t>
            </w:r>
          </w:p>
        </w:tc>
        <w:tc>
          <w:tcPr>
            <w:tcW w:w="2665" w:type="dxa"/>
          </w:tcPr>
          <w:p w:rsidR="006E273D" w:rsidRDefault="00724371">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r w:rsidR="006E273D">
        <w:trPr>
          <w:trHeight w:val="596"/>
          <w:jc w:val="center"/>
        </w:trPr>
        <w:tc>
          <w:tcPr>
            <w:tcW w:w="985" w:type="dxa"/>
          </w:tcPr>
          <w:p w:rsidR="006E273D" w:rsidRDefault="00724371">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2</w:t>
            </w:r>
          </w:p>
        </w:tc>
        <w:tc>
          <w:tcPr>
            <w:tcW w:w="3485" w:type="dxa"/>
          </w:tcPr>
          <w:p w:rsidR="006E273D" w:rsidRDefault="006E273D">
            <w:pPr>
              <w:spacing w:after="0" w:line="560" w:lineRule="exact"/>
              <w:rPr>
                <w:rFonts w:ascii="仿宋_GB2312" w:eastAsia="仿宋_GB2312" w:hAnsiTheme="minorHAnsi" w:cs="ArialUnicodeMS"/>
                <w:kern w:val="0"/>
                <w:sz w:val="28"/>
                <w:szCs w:val="28"/>
              </w:rPr>
            </w:pPr>
          </w:p>
        </w:tc>
        <w:tc>
          <w:tcPr>
            <w:tcW w:w="2445" w:type="dxa"/>
          </w:tcPr>
          <w:p w:rsidR="006E273D" w:rsidRDefault="006E273D">
            <w:pPr>
              <w:spacing w:after="0" w:line="560" w:lineRule="exact"/>
              <w:jc w:val="center"/>
              <w:rPr>
                <w:rFonts w:ascii="仿宋_GB2312" w:eastAsia="仿宋_GB2312" w:hAnsiTheme="minorHAnsi" w:cs="ArialUnicodeMS"/>
                <w:kern w:val="0"/>
                <w:sz w:val="28"/>
                <w:szCs w:val="28"/>
              </w:rPr>
            </w:pPr>
          </w:p>
        </w:tc>
        <w:tc>
          <w:tcPr>
            <w:tcW w:w="2665" w:type="dxa"/>
          </w:tcPr>
          <w:p w:rsidR="006E273D" w:rsidRDefault="006E273D">
            <w:pPr>
              <w:spacing w:after="0" w:line="560" w:lineRule="exact"/>
              <w:jc w:val="center"/>
              <w:rPr>
                <w:rFonts w:ascii="仿宋_GB2312" w:eastAsia="仿宋_GB2312" w:hAnsiTheme="minorHAnsi" w:cs="ArialUnicodeMS"/>
                <w:kern w:val="0"/>
                <w:sz w:val="28"/>
                <w:szCs w:val="28"/>
              </w:rPr>
            </w:pPr>
          </w:p>
        </w:tc>
      </w:tr>
      <w:tr w:rsidR="006E273D">
        <w:trPr>
          <w:trHeight w:val="596"/>
          <w:jc w:val="center"/>
        </w:trPr>
        <w:tc>
          <w:tcPr>
            <w:tcW w:w="985" w:type="dxa"/>
          </w:tcPr>
          <w:p w:rsidR="006E273D" w:rsidRDefault="00724371">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3</w:t>
            </w:r>
          </w:p>
        </w:tc>
        <w:tc>
          <w:tcPr>
            <w:tcW w:w="3485" w:type="dxa"/>
          </w:tcPr>
          <w:p w:rsidR="006E273D" w:rsidRDefault="006E273D">
            <w:pPr>
              <w:spacing w:after="0" w:line="560" w:lineRule="exact"/>
              <w:rPr>
                <w:rFonts w:ascii="仿宋_GB2312" w:eastAsia="仿宋_GB2312" w:hAnsiTheme="minorHAnsi" w:cs="ArialUnicodeMS"/>
                <w:kern w:val="0"/>
                <w:sz w:val="28"/>
                <w:szCs w:val="28"/>
              </w:rPr>
            </w:pPr>
          </w:p>
        </w:tc>
        <w:tc>
          <w:tcPr>
            <w:tcW w:w="2445" w:type="dxa"/>
          </w:tcPr>
          <w:p w:rsidR="006E273D" w:rsidRDefault="006E273D">
            <w:pPr>
              <w:spacing w:after="0" w:line="560" w:lineRule="exact"/>
              <w:jc w:val="center"/>
              <w:rPr>
                <w:rFonts w:ascii="仿宋_GB2312" w:eastAsia="仿宋_GB2312" w:hAnsiTheme="minorHAnsi" w:cs="ArialUnicodeMS"/>
                <w:kern w:val="0"/>
                <w:sz w:val="28"/>
                <w:szCs w:val="28"/>
              </w:rPr>
            </w:pPr>
          </w:p>
        </w:tc>
        <w:tc>
          <w:tcPr>
            <w:tcW w:w="2665" w:type="dxa"/>
          </w:tcPr>
          <w:p w:rsidR="006E273D" w:rsidRDefault="006E273D">
            <w:pPr>
              <w:spacing w:after="0" w:line="560" w:lineRule="exact"/>
              <w:jc w:val="center"/>
              <w:rPr>
                <w:rFonts w:ascii="仿宋_GB2312" w:eastAsia="仿宋_GB2312" w:hAnsiTheme="minorHAnsi" w:cs="ArialUnicodeMS"/>
                <w:kern w:val="0"/>
                <w:sz w:val="28"/>
                <w:szCs w:val="28"/>
              </w:rPr>
            </w:pPr>
          </w:p>
        </w:tc>
      </w:tr>
      <w:tr w:rsidR="006E273D">
        <w:trPr>
          <w:trHeight w:val="606"/>
          <w:jc w:val="center"/>
        </w:trPr>
        <w:tc>
          <w:tcPr>
            <w:tcW w:w="985" w:type="dxa"/>
            <w:tcBorders>
              <w:bottom w:val="single" w:sz="4" w:space="0" w:color="auto"/>
            </w:tcBorders>
          </w:tcPr>
          <w:p w:rsidR="006E273D" w:rsidRDefault="00724371">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w:t>
            </w:r>
          </w:p>
        </w:tc>
        <w:tc>
          <w:tcPr>
            <w:tcW w:w="3485" w:type="dxa"/>
            <w:tcBorders>
              <w:bottom w:val="single" w:sz="4" w:space="0" w:color="auto"/>
            </w:tcBorders>
          </w:tcPr>
          <w:p w:rsidR="006E273D" w:rsidRDefault="00724371">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w:t>
            </w:r>
          </w:p>
        </w:tc>
        <w:tc>
          <w:tcPr>
            <w:tcW w:w="2445" w:type="dxa"/>
            <w:tcBorders>
              <w:bottom w:val="single" w:sz="4" w:space="0" w:color="auto"/>
            </w:tcBorders>
          </w:tcPr>
          <w:p w:rsidR="006E273D" w:rsidRDefault="006E273D">
            <w:pPr>
              <w:spacing w:after="0" w:line="560" w:lineRule="exact"/>
              <w:jc w:val="center"/>
              <w:rPr>
                <w:rFonts w:ascii="仿宋_GB2312" w:eastAsia="仿宋_GB2312" w:hAnsiTheme="minorHAnsi" w:cs="ArialUnicodeMS"/>
                <w:kern w:val="0"/>
                <w:sz w:val="28"/>
                <w:szCs w:val="28"/>
              </w:rPr>
            </w:pPr>
          </w:p>
        </w:tc>
        <w:tc>
          <w:tcPr>
            <w:tcW w:w="2665" w:type="dxa"/>
            <w:tcBorders>
              <w:bottom w:val="single" w:sz="4" w:space="0" w:color="auto"/>
            </w:tcBorders>
          </w:tcPr>
          <w:p w:rsidR="006E273D" w:rsidRDefault="006E273D">
            <w:pPr>
              <w:spacing w:after="0" w:line="560" w:lineRule="exact"/>
              <w:jc w:val="center"/>
              <w:rPr>
                <w:rFonts w:ascii="仿宋_GB2312" w:eastAsia="仿宋_GB2312" w:hAnsiTheme="minorHAnsi" w:cs="ArialUnicodeMS"/>
                <w:kern w:val="0"/>
                <w:sz w:val="28"/>
                <w:szCs w:val="28"/>
              </w:rPr>
            </w:pPr>
          </w:p>
        </w:tc>
      </w:tr>
      <w:tr w:rsidR="006E273D">
        <w:trPr>
          <w:trHeight w:val="606"/>
          <w:jc w:val="center"/>
        </w:trPr>
        <w:tc>
          <w:tcPr>
            <w:tcW w:w="9580" w:type="dxa"/>
            <w:gridSpan w:val="4"/>
            <w:tcBorders>
              <w:top w:val="single" w:sz="4" w:space="0" w:color="auto"/>
              <w:left w:val="nil"/>
              <w:bottom w:val="nil"/>
              <w:right w:val="nil"/>
            </w:tcBorders>
          </w:tcPr>
          <w:p w:rsidR="006E273D" w:rsidRDefault="006E273D">
            <w:pPr>
              <w:spacing w:after="0" w:line="560" w:lineRule="exact"/>
              <w:ind w:firstLineChars="200" w:firstLine="560"/>
              <w:jc w:val="left"/>
              <w:rPr>
                <w:rFonts w:ascii="仿宋_GB2312" w:eastAsia="仿宋_GB2312" w:hAnsiTheme="minorHAnsi" w:cs="ArialUnicodeMS"/>
                <w:kern w:val="0"/>
                <w:sz w:val="28"/>
                <w:szCs w:val="28"/>
              </w:rPr>
            </w:pPr>
          </w:p>
        </w:tc>
      </w:tr>
    </w:tbl>
    <w:p w:rsidR="006E273D" w:rsidRDefault="006E273D">
      <w:pPr>
        <w:widowControl/>
        <w:spacing w:line="560" w:lineRule="exact"/>
        <w:rPr>
          <w:rFonts w:ascii="黑体" w:eastAsia="黑体" w:hAnsiTheme="minorHAnsi" w:cs="MS-UIGothic,Bold"/>
          <w:bCs/>
          <w:kern w:val="0"/>
          <w:sz w:val="52"/>
          <w:szCs w:val="52"/>
        </w:rPr>
      </w:pPr>
    </w:p>
    <w:p w:rsidR="006E273D" w:rsidRDefault="006E273D">
      <w:pPr>
        <w:widowControl/>
        <w:spacing w:line="560" w:lineRule="exact"/>
        <w:jc w:val="center"/>
        <w:rPr>
          <w:rFonts w:ascii="黑体" w:eastAsia="黑体" w:hAnsiTheme="minorHAnsi" w:cs="MS-UIGothic,Bold"/>
          <w:bCs/>
          <w:kern w:val="0"/>
          <w:sz w:val="52"/>
          <w:szCs w:val="52"/>
        </w:rPr>
        <w:sectPr w:rsidR="006E273D">
          <w:pgSz w:w="11906" w:h="16838"/>
          <w:pgMar w:top="2098" w:right="1474" w:bottom="1984" w:left="1588" w:header="851" w:footer="992" w:gutter="0"/>
          <w:cols w:space="0"/>
          <w:docGrid w:type="lines" w:linePitch="312"/>
        </w:sectPr>
      </w:pPr>
    </w:p>
    <w:p w:rsidR="006E273D" w:rsidRDefault="006E273D">
      <w:pPr>
        <w:widowControl/>
        <w:spacing w:line="1200" w:lineRule="exact"/>
        <w:jc w:val="center"/>
        <w:rPr>
          <w:rFonts w:asciiTheme="minorEastAsia" w:eastAsiaTheme="minorEastAsia" w:hAnsi="宋体"/>
          <w:color w:val="000000" w:themeColor="text1"/>
          <w:sz w:val="72"/>
          <w:szCs w:val="96"/>
        </w:rPr>
      </w:pPr>
    </w:p>
    <w:p w:rsidR="006E273D" w:rsidRDefault="006E273D">
      <w:pPr>
        <w:widowControl/>
        <w:spacing w:line="1200" w:lineRule="exact"/>
        <w:jc w:val="center"/>
        <w:rPr>
          <w:rFonts w:asciiTheme="minorEastAsia" w:eastAsiaTheme="minorEastAsia" w:hAnsi="宋体"/>
          <w:color w:val="000000" w:themeColor="text1"/>
          <w:sz w:val="72"/>
          <w:szCs w:val="96"/>
        </w:rPr>
      </w:pPr>
    </w:p>
    <w:p w:rsidR="006E273D" w:rsidRDefault="006E273D">
      <w:pPr>
        <w:widowControl/>
        <w:spacing w:line="1200" w:lineRule="exact"/>
        <w:jc w:val="center"/>
        <w:rPr>
          <w:rFonts w:asciiTheme="minorEastAsia" w:eastAsiaTheme="minorEastAsia" w:hAnsi="宋体"/>
          <w:color w:val="000000" w:themeColor="text1"/>
          <w:sz w:val="72"/>
          <w:szCs w:val="96"/>
        </w:rPr>
      </w:pPr>
    </w:p>
    <w:p w:rsidR="006E273D" w:rsidRDefault="00724371">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rsidR="006E273D" w:rsidRDefault="00724371">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2018</w:t>
      </w:r>
      <w:r>
        <w:rPr>
          <w:rFonts w:asciiTheme="minorEastAsia" w:eastAsiaTheme="minorEastAsia" w:hAnsi="宋体" w:hint="eastAsia"/>
          <w:color w:val="000000" w:themeColor="text1"/>
          <w:sz w:val="72"/>
          <w:szCs w:val="96"/>
        </w:rPr>
        <w:t>年度部门决算报表</w:t>
      </w:r>
    </w:p>
    <w:p w:rsidR="006E273D" w:rsidRDefault="006E273D">
      <w:pPr>
        <w:widowControl/>
        <w:spacing w:line="560" w:lineRule="exact"/>
        <w:jc w:val="center"/>
        <w:rPr>
          <w:rFonts w:ascii="黑体" w:eastAsia="黑体" w:hAnsiTheme="minorHAnsi" w:cs="MS-UIGothic,Bold"/>
          <w:bCs/>
          <w:kern w:val="0"/>
          <w:sz w:val="52"/>
          <w:szCs w:val="52"/>
        </w:rPr>
      </w:pPr>
    </w:p>
    <w:p w:rsidR="006E273D" w:rsidRDefault="006E273D">
      <w:pPr>
        <w:widowControl/>
        <w:spacing w:line="560" w:lineRule="exact"/>
        <w:jc w:val="center"/>
        <w:rPr>
          <w:rFonts w:ascii="黑体" w:eastAsia="黑体" w:hAnsiTheme="minorHAnsi" w:cs="MS-UIGothic,Bold"/>
          <w:bCs/>
          <w:kern w:val="0"/>
          <w:sz w:val="52"/>
          <w:szCs w:val="52"/>
        </w:rPr>
      </w:pPr>
    </w:p>
    <w:p w:rsidR="006E273D" w:rsidRDefault="006E273D">
      <w:pPr>
        <w:rPr>
          <w:rFonts w:ascii="宋体" w:hAnsi="宋体" w:cs="ArialUnicodeMS"/>
          <w:color w:val="000000"/>
          <w:kern w:val="0"/>
        </w:rPr>
      </w:pPr>
    </w:p>
    <w:p w:rsidR="006E273D" w:rsidRDefault="006E273D">
      <w:pPr>
        <w:rPr>
          <w:rFonts w:ascii="宋体" w:hAnsi="宋体" w:cs="ArialUnicodeMS"/>
          <w:color w:val="000000"/>
          <w:kern w:val="0"/>
        </w:rPr>
        <w:sectPr w:rsidR="006E273D">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6E273D">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6E273D" w:rsidRDefault="00724371">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6E273D">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rsidR="006E273D" w:rsidRDefault="006E273D">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6E273D" w:rsidRDefault="006E273D">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01</w:t>
            </w:r>
            <w:r>
              <w:rPr>
                <w:rFonts w:ascii="宋体" w:hAnsi="宋体" w:cs="宋体" w:hint="eastAsia"/>
                <w:color w:val="000000"/>
                <w:kern w:val="0"/>
                <w:sz w:val="20"/>
                <w:szCs w:val="20"/>
              </w:rPr>
              <w:t>表</w:t>
            </w:r>
          </w:p>
        </w:tc>
      </w:tr>
      <w:tr w:rsidR="006E273D">
        <w:trPr>
          <w:trHeight w:val="418"/>
          <w:jc w:val="center"/>
        </w:trPr>
        <w:tc>
          <w:tcPr>
            <w:tcW w:w="2700" w:type="dxa"/>
            <w:tcBorders>
              <w:top w:val="nil"/>
              <w:left w:val="nil"/>
              <w:bottom w:val="nil"/>
              <w:right w:val="nil"/>
            </w:tcBorders>
            <w:shd w:val="clear" w:color="auto" w:fill="auto"/>
            <w:tcMar>
              <w:top w:w="15" w:type="dxa"/>
              <w:left w:w="15" w:type="dxa"/>
              <w:right w:w="15" w:type="dxa"/>
            </w:tcMar>
            <w:vAlign w:val="center"/>
          </w:tcPr>
          <w:p w:rsidR="006E273D" w:rsidRDefault="00724371">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廊坊市中共大厂县纪律检查委员会（本级）</w:t>
            </w:r>
          </w:p>
        </w:tc>
        <w:tc>
          <w:tcPr>
            <w:tcW w:w="567" w:type="dxa"/>
            <w:tcBorders>
              <w:top w:val="nil"/>
              <w:left w:val="nil"/>
              <w:bottom w:val="nil"/>
              <w:right w:val="nil"/>
            </w:tcBorders>
            <w:shd w:val="clear" w:color="auto" w:fill="auto"/>
            <w:tcMar>
              <w:top w:w="15" w:type="dxa"/>
              <w:left w:w="15" w:type="dxa"/>
              <w:right w:w="15" w:type="dxa"/>
            </w:tcMar>
            <w:vAlign w:val="center"/>
          </w:tcPr>
          <w:p w:rsidR="006E273D" w:rsidRDefault="006E273D">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rsidR="006E273D" w:rsidRDefault="006E273D">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6E273D" w:rsidRDefault="006E273D">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6E273D" w:rsidRDefault="006E273D">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6E273D">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6E273D">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6E273D">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E273D">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1446.91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1293.13</w:t>
            </w: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86.87</w:t>
            </w: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32.09</w:t>
            </w: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52.14</w:t>
            </w: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1446.91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1464.22</w:t>
            </w:r>
          </w:p>
        </w:tc>
      </w:tr>
      <w:tr w:rsidR="006E273D">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00" w:lineRule="exact"/>
              <w:jc w:val="right"/>
              <w:rPr>
                <w:rFonts w:ascii="宋体" w:hAnsi="宋体" w:cs="宋体"/>
                <w:color w:val="000000"/>
                <w:sz w:val="20"/>
                <w:szCs w:val="20"/>
              </w:rPr>
            </w:pP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79.83</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62.52</w:t>
            </w:r>
          </w:p>
        </w:tc>
      </w:tr>
      <w:tr w:rsidR="006E273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1526.75</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1526.75</w:t>
            </w:r>
          </w:p>
        </w:tc>
      </w:tr>
      <w:tr w:rsidR="006E273D">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6E273D" w:rsidRDefault="00724371">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6E273D" w:rsidRDefault="006E273D">
      <w:pPr>
        <w:widowControl/>
        <w:spacing w:after="0" w:line="560" w:lineRule="exact"/>
        <w:jc w:val="left"/>
        <w:rPr>
          <w:rFonts w:ascii="仿宋_GB2312" w:eastAsia="仿宋_GB2312" w:hAnsiTheme="majorEastAsia"/>
          <w:b/>
          <w:sz w:val="28"/>
          <w:szCs w:val="28"/>
          <w:highlight w:val="yellow"/>
        </w:rPr>
        <w:sectPr w:rsidR="006E273D">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6E273D">
        <w:trPr>
          <w:trHeight w:val="770"/>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rsidR="006E273D" w:rsidRDefault="00724371">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6E273D">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02</w:t>
            </w:r>
            <w:r>
              <w:rPr>
                <w:rFonts w:ascii="宋体" w:hAnsi="宋体" w:cs="宋体" w:hint="eastAsia"/>
                <w:color w:val="000000"/>
                <w:kern w:val="0"/>
                <w:szCs w:val="21"/>
              </w:rPr>
              <w:t>表</w:t>
            </w:r>
          </w:p>
        </w:tc>
      </w:tr>
      <w:tr w:rsidR="006E273D">
        <w:trPr>
          <w:trHeight w:val="362"/>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廊坊市中共大厂县纪律检查委员会（本级）</w:t>
            </w:r>
          </w:p>
        </w:tc>
        <w:tc>
          <w:tcPr>
            <w:tcW w:w="26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6E273D">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6E273D">
        <w:trPr>
          <w:trHeight w:val="626"/>
          <w:jc w:val="center"/>
        </w:trPr>
        <w:tc>
          <w:tcPr>
            <w:tcW w:w="10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textAlignment w:val="center"/>
              <w:rPr>
                <w:rFonts w:ascii="宋体"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textAlignment w:val="center"/>
              <w:rPr>
                <w:rFonts w:ascii="宋体" w:hAns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6E273D" w:rsidRDefault="006E273D">
            <w:pPr>
              <w:widowControl/>
              <w:spacing w:after="0" w:line="240" w:lineRule="atLeast"/>
              <w:jc w:val="center"/>
              <w:textAlignment w:val="center"/>
              <w:rPr>
                <w:rFonts w:ascii="宋体" w:hAnsi="宋体" w:cs="宋体"/>
                <w:color w:val="000000"/>
                <w:kern w:val="0"/>
                <w:sz w:val="20"/>
                <w:szCs w:val="20"/>
              </w:rPr>
            </w:pPr>
          </w:p>
        </w:tc>
      </w:tr>
      <w:tr w:rsidR="006E273D">
        <w:trPr>
          <w:trHeight w:val="391"/>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6E273D">
        <w:trPr>
          <w:trHeight w:val="90"/>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1446.91</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1446.91</w:t>
            </w: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b/>
                <w:color w:val="000000"/>
                <w:sz w:val="18"/>
                <w:szCs w:val="18"/>
              </w:rPr>
            </w:pPr>
          </w:p>
        </w:tc>
      </w:tr>
      <w:tr w:rsidR="006E27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一般公共服务支出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1275.82</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1275.82</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20111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纪检监察事务</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1275.82</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1275.82</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2011101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1265.82</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1265.82</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2011199</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其他纪检监察事务支出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行政事业单位医疗</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行政单位医疗</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住房保障支出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22102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住房改革支出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住房公积金</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481"/>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6E273D" w:rsidRDefault="006E273D">
      <w:pPr>
        <w:widowControl/>
        <w:spacing w:after="0" w:line="560" w:lineRule="exact"/>
        <w:jc w:val="left"/>
        <w:rPr>
          <w:rFonts w:ascii="仿宋_GB2312" w:eastAsia="仿宋_GB2312" w:hAnsiTheme="majorEastAsia"/>
          <w:b/>
          <w:sz w:val="28"/>
          <w:szCs w:val="28"/>
          <w:highlight w:val="yellow"/>
        </w:rPr>
        <w:sectPr w:rsidR="006E273D">
          <w:pgSz w:w="11906" w:h="16838"/>
          <w:pgMar w:top="2098" w:right="1474" w:bottom="1984" w:left="1588" w:header="851" w:footer="992" w:gutter="0"/>
          <w:cols w:space="0"/>
          <w:docGrid w:type="lines" w:linePitch="312"/>
        </w:sectPr>
      </w:pPr>
    </w:p>
    <w:tbl>
      <w:tblPr>
        <w:tblW w:w="9262" w:type="dxa"/>
        <w:tblLayout w:type="fixed"/>
        <w:tblCellMar>
          <w:left w:w="0" w:type="dxa"/>
          <w:right w:w="0" w:type="dxa"/>
        </w:tblCellMar>
        <w:tblLook w:val="04A0"/>
      </w:tblPr>
      <w:tblGrid>
        <w:gridCol w:w="290"/>
        <w:gridCol w:w="289"/>
        <w:gridCol w:w="495"/>
        <w:gridCol w:w="2244"/>
        <w:gridCol w:w="90"/>
        <w:gridCol w:w="930"/>
        <w:gridCol w:w="188"/>
        <w:gridCol w:w="858"/>
        <w:gridCol w:w="262"/>
        <w:gridCol w:w="588"/>
        <w:gridCol w:w="268"/>
        <w:gridCol w:w="262"/>
        <w:gridCol w:w="370"/>
        <w:gridCol w:w="750"/>
        <w:gridCol w:w="32"/>
        <w:gridCol w:w="1084"/>
        <w:gridCol w:w="262"/>
      </w:tblGrid>
      <w:tr w:rsidR="006E273D">
        <w:trPr>
          <w:gridAfter w:val="1"/>
          <w:wAfter w:w="262" w:type="dxa"/>
          <w:trHeight w:val="798"/>
        </w:trPr>
        <w:tc>
          <w:tcPr>
            <w:tcW w:w="9000" w:type="dxa"/>
            <w:gridSpan w:val="16"/>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6E273D">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495"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2244"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1378" w:type="dxa"/>
            <w:gridSpan w:val="3"/>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03</w:t>
            </w:r>
            <w:r>
              <w:rPr>
                <w:rFonts w:ascii="宋体" w:hAnsi="宋体" w:cs="宋体" w:hint="eastAsia"/>
                <w:color w:val="000000"/>
                <w:kern w:val="0"/>
                <w:szCs w:val="21"/>
              </w:rPr>
              <w:t>表</w:t>
            </w:r>
          </w:p>
        </w:tc>
      </w:tr>
      <w:tr w:rsidR="006E273D">
        <w:trPr>
          <w:gridAfter w:val="1"/>
          <w:wAfter w:w="262" w:type="dxa"/>
          <w:trHeight w:val="555"/>
        </w:trPr>
        <w:tc>
          <w:tcPr>
            <w:tcW w:w="3318" w:type="dxa"/>
            <w:gridSpan w:val="4"/>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廊坊市中共大厂县纪律检查委员会（本级）</w:t>
            </w:r>
          </w:p>
        </w:tc>
        <w:tc>
          <w:tcPr>
            <w:tcW w:w="1020"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1046"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2498" w:type="dxa"/>
            <w:gridSpan w:val="5"/>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6E273D">
        <w:trPr>
          <w:gridAfter w:val="1"/>
          <w:wAfter w:w="262" w:type="dxa"/>
          <w:trHeight w:val="837"/>
        </w:trPr>
        <w:tc>
          <w:tcPr>
            <w:tcW w:w="331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20"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46"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850"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900" w:type="dxa"/>
            <w:gridSpan w:val="3"/>
            <w:tcBorders>
              <w:top w:val="single" w:sz="4" w:space="0" w:color="000000"/>
              <w:left w:val="nil"/>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782"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tcBorders>
              <w:top w:val="single" w:sz="4" w:space="0" w:color="000000"/>
              <w:left w:val="nil"/>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6E273D">
        <w:trPr>
          <w:gridAfter w:val="1"/>
          <w:wAfter w:w="262" w:type="dxa"/>
          <w:trHeight w:val="531"/>
        </w:trPr>
        <w:tc>
          <w:tcPr>
            <w:tcW w:w="107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20"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c>
          <w:tcPr>
            <w:tcW w:w="1046"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c>
          <w:tcPr>
            <w:tcW w:w="850"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c>
          <w:tcPr>
            <w:tcW w:w="900" w:type="dxa"/>
            <w:gridSpan w:val="3"/>
            <w:tcBorders>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c>
          <w:tcPr>
            <w:tcW w:w="782"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c>
          <w:tcPr>
            <w:tcW w:w="1084" w:type="dxa"/>
            <w:tcBorders>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r>
      <w:tr w:rsidR="006E273D">
        <w:trPr>
          <w:gridAfter w:val="1"/>
          <w:wAfter w:w="262" w:type="dxa"/>
          <w:trHeight w:val="395"/>
        </w:trPr>
        <w:tc>
          <w:tcPr>
            <w:tcW w:w="331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2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4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90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78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6E273D">
        <w:trPr>
          <w:gridAfter w:val="1"/>
          <w:wAfter w:w="262" w:type="dxa"/>
          <w:trHeight w:val="440"/>
        </w:trPr>
        <w:tc>
          <w:tcPr>
            <w:tcW w:w="331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b/>
                <w:color w:val="000000"/>
                <w:szCs w:val="21"/>
              </w:rPr>
            </w:pPr>
            <w:r>
              <w:rPr>
                <w:rFonts w:ascii="宋体" w:hAnsi="宋体" w:cs="宋体" w:hint="eastAsia"/>
                <w:b/>
                <w:color w:val="000000"/>
                <w:szCs w:val="21"/>
              </w:rPr>
              <w:t>1464.22</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b/>
                <w:color w:val="000000"/>
                <w:szCs w:val="21"/>
              </w:rPr>
            </w:pPr>
            <w:r>
              <w:rPr>
                <w:rFonts w:ascii="宋体" w:hAnsi="宋体" w:cs="宋体" w:hint="eastAsia"/>
                <w:b/>
                <w:color w:val="000000"/>
                <w:szCs w:val="21"/>
              </w:rPr>
              <w:t>1462.12</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b/>
                <w:color w:val="000000"/>
                <w:szCs w:val="21"/>
              </w:rPr>
            </w:pPr>
            <w:r>
              <w:rPr>
                <w:rFonts w:ascii="宋体" w:hAnsi="宋体" w:cs="宋体" w:hint="eastAsia"/>
                <w:b/>
                <w:color w:val="000000"/>
                <w:szCs w:val="21"/>
              </w:rPr>
              <w:t>2.10</w:t>
            </w: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b/>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b/>
                <w:color w:val="000000"/>
                <w:szCs w:val="21"/>
              </w:rPr>
            </w:pPr>
          </w:p>
        </w:tc>
      </w:tr>
      <w:tr w:rsidR="006E273D">
        <w:trPr>
          <w:gridAfter w:val="1"/>
          <w:wAfter w:w="262" w:type="dxa"/>
          <w:trHeight w:val="468"/>
        </w:trPr>
        <w:tc>
          <w:tcPr>
            <w:tcW w:w="107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一般公共服务支出</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1293.13</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1293.13</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2.10</w:t>
            </w: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gridAfter w:val="1"/>
          <w:wAfter w:w="262" w:type="dxa"/>
          <w:trHeight w:val="468"/>
        </w:trPr>
        <w:tc>
          <w:tcPr>
            <w:tcW w:w="107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20102</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政协事务</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12.05</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12.05</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gridAfter w:val="1"/>
          <w:wAfter w:w="262" w:type="dxa"/>
          <w:trHeight w:val="468"/>
        </w:trPr>
        <w:tc>
          <w:tcPr>
            <w:tcW w:w="107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2010202</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一般行政管理事务</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12.05</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12.05</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gridAfter w:val="1"/>
          <w:wAfter w:w="262" w:type="dxa"/>
          <w:trHeight w:val="468"/>
        </w:trPr>
        <w:tc>
          <w:tcPr>
            <w:tcW w:w="107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20111</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纪检监察事务</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1281.08</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1278.98</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2.10</w:t>
            </w: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gridAfter w:val="1"/>
          <w:wAfter w:w="262" w:type="dxa"/>
          <w:trHeight w:val="468"/>
        </w:trPr>
        <w:tc>
          <w:tcPr>
            <w:tcW w:w="107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2011101</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1278.98</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1278.98</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gridAfter w:val="1"/>
          <w:wAfter w:w="262" w:type="dxa"/>
          <w:trHeight w:val="468"/>
        </w:trPr>
        <w:tc>
          <w:tcPr>
            <w:tcW w:w="107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2011199</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其他纪检监察事务支出</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2.10</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2.10</w:t>
            </w: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gridAfter w:val="1"/>
          <w:wAfter w:w="262" w:type="dxa"/>
          <w:trHeight w:val="468"/>
        </w:trPr>
        <w:tc>
          <w:tcPr>
            <w:tcW w:w="107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gridAfter w:val="1"/>
          <w:wAfter w:w="262" w:type="dxa"/>
          <w:trHeight w:val="468"/>
        </w:trPr>
        <w:tc>
          <w:tcPr>
            <w:tcW w:w="107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gridAfter w:val="1"/>
          <w:wAfter w:w="262" w:type="dxa"/>
          <w:trHeight w:val="468"/>
        </w:trPr>
        <w:tc>
          <w:tcPr>
            <w:tcW w:w="107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gridAfter w:val="1"/>
          <w:wAfter w:w="262" w:type="dxa"/>
          <w:trHeight w:val="468"/>
        </w:trPr>
        <w:tc>
          <w:tcPr>
            <w:tcW w:w="107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医疗卫生与计划生育支出</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gridAfter w:val="1"/>
          <w:wAfter w:w="262" w:type="dxa"/>
          <w:trHeight w:val="468"/>
        </w:trPr>
        <w:tc>
          <w:tcPr>
            <w:tcW w:w="107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行政事业单位医疗</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gridAfter w:val="1"/>
          <w:wAfter w:w="262" w:type="dxa"/>
          <w:trHeight w:val="468"/>
        </w:trPr>
        <w:tc>
          <w:tcPr>
            <w:tcW w:w="107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行政单位医疗</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gridAfter w:val="1"/>
          <w:wAfter w:w="262" w:type="dxa"/>
          <w:trHeight w:val="468"/>
        </w:trPr>
        <w:tc>
          <w:tcPr>
            <w:tcW w:w="107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住房保障支出</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gridAfter w:val="1"/>
          <w:wAfter w:w="262" w:type="dxa"/>
          <w:trHeight w:val="468"/>
        </w:trPr>
        <w:tc>
          <w:tcPr>
            <w:tcW w:w="107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22102</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住房改革支出</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gridAfter w:val="1"/>
          <w:wAfter w:w="262" w:type="dxa"/>
          <w:trHeight w:val="468"/>
        </w:trPr>
        <w:tc>
          <w:tcPr>
            <w:tcW w:w="107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22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住房公积金</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10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9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78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gridAfter w:val="1"/>
          <w:wAfter w:w="262" w:type="dxa"/>
          <w:trHeight w:val="748"/>
        </w:trPr>
        <w:tc>
          <w:tcPr>
            <w:tcW w:w="9000" w:type="dxa"/>
            <w:gridSpan w:val="16"/>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6E273D" w:rsidRDefault="006E273D">
      <w:pPr>
        <w:widowControl/>
        <w:spacing w:after="0" w:line="560" w:lineRule="exact"/>
        <w:ind w:firstLineChars="200" w:firstLine="562"/>
        <w:jc w:val="left"/>
        <w:rPr>
          <w:rFonts w:ascii="仿宋_GB2312" w:eastAsia="仿宋_GB2312" w:hAnsiTheme="majorEastAsia"/>
          <w:b/>
          <w:sz w:val="28"/>
          <w:szCs w:val="28"/>
          <w:highlight w:val="yellow"/>
        </w:rPr>
        <w:sectPr w:rsidR="006E273D">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717"/>
        <w:gridCol w:w="745"/>
        <w:gridCol w:w="325"/>
        <w:gridCol w:w="850"/>
        <w:gridCol w:w="2124"/>
        <w:gridCol w:w="191"/>
        <w:gridCol w:w="360"/>
        <w:gridCol w:w="650"/>
        <w:gridCol w:w="226"/>
        <w:gridCol w:w="599"/>
        <w:gridCol w:w="277"/>
        <w:gridCol w:w="876"/>
      </w:tblGrid>
      <w:tr w:rsidR="006E273D">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6E273D">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04</w:t>
            </w:r>
            <w:r>
              <w:rPr>
                <w:rFonts w:ascii="宋体" w:hAnsi="宋体" w:cs="宋体" w:hint="eastAsia"/>
                <w:color w:val="000000"/>
                <w:kern w:val="0"/>
                <w:sz w:val="20"/>
                <w:szCs w:val="20"/>
              </w:rPr>
              <w:t>表</w:t>
            </w:r>
          </w:p>
        </w:tc>
      </w:tr>
      <w:tr w:rsidR="006E273D">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廊坊市中共大厂县纪律检查委员会（本级）</w:t>
            </w:r>
          </w:p>
        </w:tc>
        <w:tc>
          <w:tcPr>
            <w:tcW w:w="65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6E273D">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出</w:t>
            </w:r>
          </w:p>
        </w:tc>
      </w:tr>
      <w:tr w:rsidR="006E273D">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6E273D">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1293.13</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1293.13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1293.13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86.87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86.87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32.09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32.09</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52.14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52.14</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1464.22</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1464.22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1464.22</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62.52</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62.52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62.52</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79.83</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1526.75</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1526.75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1526.75</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 w:val="18"/>
                <w:szCs w:val="18"/>
              </w:rPr>
            </w:pPr>
          </w:p>
        </w:tc>
      </w:tr>
      <w:tr w:rsidR="006E273D">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6E273D" w:rsidRDefault="006E273D">
      <w:pPr>
        <w:widowControl/>
        <w:spacing w:after="0" w:line="560" w:lineRule="exact"/>
        <w:jc w:val="left"/>
        <w:rPr>
          <w:rFonts w:ascii="仿宋_GB2312" w:eastAsia="仿宋_GB2312" w:hAnsiTheme="majorEastAsia"/>
          <w:b/>
          <w:sz w:val="28"/>
          <w:szCs w:val="28"/>
          <w:highlight w:val="yellow"/>
        </w:rPr>
        <w:sectPr w:rsidR="006E273D">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317"/>
        <w:gridCol w:w="319"/>
        <w:gridCol w:w="357"/>
        <w:gridCol w:w="11"/>
        <w:gridCol w:w="2098"/>
        <w:gridCol w:w="745"/>
        <w:gridCol w:w="1174"/>
        <w:gridCol w:w="718"/>
        <w:gridCol w:w="1201"/>
        <w:gridCol w:w="1920"/>
      </w:tblGrid>
      <w:tr w:rsidR="006E273D">
        <w:trPr>
          <w:trHeight w:val="600"/>
        </w:trPr>
        <w:tc>
          <w:tcPr>
            <w:tcW w:w="8860" w:type="dxa"/>
            <w:gridSpan w:val="10"/>
            <w:tcBorders>
              <w:top w:val="nil"/>
              <w:left w:val="nil"/>
              <w:bottom w:val="nil"/>
              <w:right w:val="nil"/>
            </w:tcBorders>
            <w:shd w:val="clear" w:color="auto" w:fill="auto"/>
            <w:noWrap/>
            <w:tcMar>
              <w:top w:w="15" w:type="dxa"/>
              <w:left w:w="15" w:type="dxa"/>
              <w:right w:w="15" w:type="dxa"/>
            </w:tcMar>
            <w:vAlign w:val="bottom"/>
          </w:tcPr>
          <w:p w:rsidR="006E273D" w:rsidRDefault="00724371">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6E273D">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2109"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05</w:t>
            </w:r>
            <w:r>
              <w:rPr>
                <w:rFonts w:ascii="宋体" w:hAnsi="宋体" w:cs="宋体" w:hint="eastAsia"/>
                <w:color w:val="000000"/>
                <w:kern w:val="0"/>
                <w:szCs w:val="21"/>
              </w:rPr>
              <w:t>表</w:t>
            </w:r>
          </w:p>
        </w:tc>
      </w:tr>
      <w:tr w:rsidR="006E273D">
        <w:trPr>
          <w:trHeight w:val="334"/>
        </w:trPr>
        <w:tc>
          <w:tcPr>
            <w:tcW w:w="3847" w:type="dxa"/>
            <w:gridSpan w:val="6"/>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廊坊市中共大厂县纪律检查委员会（本级）</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6E273D">
        <w:trPr>
          <w:trHeight w:val="351"/>
        </w:trPr>
        <w:tc>
          <w:tcPr>
            <w:tcW w:w="3102"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6E273D">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6E273D">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c>
          <w:tcPr>
            <w:tcW w:w="2109"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r>
      <w:tr w:rsidR="006E273D">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c>
          <w:tcPr>
            <w:tcW w:w="2109"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tLeast"/>
              <w:jc w:val="center"/>
              <w:rPr>
                <w:rFonts w:ascii="宋体" w:hAnsi="宋体" w:cs="宋体"/>
                <w:color w:val="000000"/>
                <w:szCs w:val="21"/>
              </w:rPr>
            </w:pPr>
          </w:p>
        </w:tc>
      </w:tr>
      <w:tr w:rsidR="006E273D">
        <w:trPr>
          <w:trHeight w:val="368"/>
        </w:trPr>
        <w:tc>
          <w:tcPr>
            <w:tcW w:w="310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6E273D">
        <w:trPr>
          <w:trHeight w:val="368"/>
        </w:trPr>
        <w:tc>
          <w:tcPr>
            <w:tcW w:w="310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b/>
                <w:color w:val="000000"/>
                <w:szCs w:val="21"/>
              </w:rPr>
            </w:pPr>
            <w:r>
              <w:rPr>
                <w:rFonts w:ascii="宋体" w:hAnsi="宋体" w:cs="宋体" w:hint="eastAsia"/>
                <w:b/>
                <w:color w:val="000000"/>
                <w:szCs w:val="21"/>
              </w:rPr>
              <w:t>1464.22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b/>
                <w:color w:val="000000"/>
                <w:szCs w:val="21"/>
              </w:rPr>
            </w:pPr>
            <w:r>
              <w:rPr>
                <w:rFonts w:ascii="宋体" w:hAnsi="宋体" w:cs="宋体" w:hint="eastAsia"/>
                <w:b/>
                <w:color w:val="000000"/>
                <w:szCs w:val="21"/>
              </w:rPr>
              <w:t>1462.12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b/>
                <w:color w:val="000000"/>
                <w:szCs w:val="21"/>
              </w:rPr>
            </w:pPr>
            <w:r>
              <w:rPr>
                <w:rFonts w:ascii="宋体" w:hAnsi="宋体" w:cs="宋体" w:hint="eastAsia"/>
                <w:b/>
                <w:color w:val="000000"/>
                <w:szCs w:val="21"/>
              </w:rPr>
              <w:t>2.10</w:t>
            </w:r>
          </w:p>
        </w:tc>
      </w:tr>
      <w:tr w:rsidR="006E273D">
        <w:trPr>
          <w:trHeight w:val="368"/>
        </w:trPr>
        <w:tc>
          <w:tcPr>
            <w:tcW w:w="10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20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一般公共服务支出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1293.13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1293.13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2.10</w:t>
            </w:r>
          </w:p>
        </w:tc>
      </w:tr>
      <w:tr w:rsidR="006E273D">
        <w:trPr>
          <w:trHeight w:val="368"/>
        </w:trPr>
        <w:tc>
          <w:tcPr>
            <w:tcW w:w="10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20102</w:t>
            </w:r>
          </w:p>
        </w:tc>
        <w:tc>
          <w:tcPr>
            <w:tcW w:w="20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政协事务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12.05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12.05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68"/>
        </w:trPr>
        <w:tc>
          <w:tcPr>
            <w:tcW w:w="10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2010202</w:t>
            </w:r>
          </w:p>
        </w:tc>
        <w:tc>
          <w:tcPr>
            <w:tcW w:w="20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一般行政管理事务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12.05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12.05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68"/>
        </w:trPr>
        <w:tc>
          <w:tcPr>
            <w:tcW w:w="10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20111</w:t>
            </w:r>
          </w:p>
        </w:tc>
        <w:tc>
          <w:tcPr>
            <w:tcW w:w="20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纪检监察事务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1281.08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1278.98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2.10</w:t>
            </w:r>
          </w:p>
        </w:tc>
      </w:tr>
      <w:tr w:rsidR="006E273D">
        <w:trPr>
          <w:trHeight w:val="368"/>
        </w:trPr>
        <w:tc>
          <w:tcPr>
            <w:tcW w:w="10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2011101</w:t>
            </w:r>
          </w:p>
        </w:tc>
        <w:tc>
          <w:tcPr>
            <w:tcW w:w="20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1278.98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1278.98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68"/>
        </w:trPr>
        <w:tc>
          <w:tcPr>
            <w:tcW w:w="10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2011199</w:t>
            </w:r>
          </w:p>
        </w:tc>
        <w:tc>
          <w:tcPr>
            <w:tcW w:w="20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其他纪检监察事务支出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2.10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2.10</w:t>
            </w:r>
          </w:p>
        </w:tc>
      </w:tr>
      <w:tr w:rsidR="006E273D">
        <w:trPr>
          <w:trHeight w:val="368"/>
        </w:trPr>
        <w:tc>
          <w:tcPr>
            <w:tcW w:w="10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20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68"/>
        </w:trPr>
        <w:tc>
          <w:tcPr>
            <w:tcW w:w="10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20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68"/>
        </w:trPr>
        <w:tc>
          <w:tcPr>
            <w:tcW w:w="10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20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86.87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68"/>
        </w:trPr>
        <w:tc>
          <w:tcPr>
            <w:tcW w:w="10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20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68"/>
        </w:trPr>
        <w:tc>
          <w:tcPr>
            <w:tcW w:w="10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20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68"/>
        </w:trPr>
        <w:tc>
          <w:tcPr>
            <w:tcW w:w="10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20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行政单位医疗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32.09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68"/>
        </w:trPr>
        <w:tc>
          <w:tcPr>
            <w:tcW w:w="10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20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住房保障支出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68"/>
        </w:trPr>
        <w:tc>
          <w:tcPr>
            <w:tcW w:w="10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22102</w:t>
            </w:r>
          </w:p>
        </w:tc>
        <w:tc>
          <w:tcPr>
            <w:tcW w:w="20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住房改革支出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68"/>
        </w:trPr>
        <w:tc>
          <w:tcPr>
            <w:tcW w:w="10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20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left"/>
              <w:rPr>
                <w:rFonts w:ascii="宋体" w:hAnsi="宋体" w:cs="宋体"/>
                <w:color w:val="000000"/>
                <w:szCs w:val="21"/>
              </w:rPr>
            </w:pPr>
            <w:r>
              <w:rPr>
                <w:rFonts w:ascii="宋体" w:hAnsi="宋体" w:cs="宋体" w:hint="eastAsia"/>
                <w:color w:val="000000"/>
                <w:szCs w:val="21"/>
              </w:rPr>
              <w:t>住房公积金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tLeast"/>
              <w:jc w:val="right"/>
              <w:rPr>
                <w:rFonts w:ascii="宋体" w:hAnsi="宋体" w:cs="宋体"/>
                <w:color w:val="000000"/>
                <w:szCs w:val="21"/>
              </w:rPr>
            </w:pPr>
            <w:r>
              <w:rPr>
                <w:rFonts w:ascii="宋体" w:hAnsi="宋体" w:cs="宋体" w:hint="eastAsia"/>
                <w:color w:val="000000"/>
                <w:szCs w:val="21"/>
              </w:rPr>
              <w:t>52.14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Cs w:val="21"/>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Cs w:val="21"/>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Cs w:val="21"/>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tLeast"/>
              <w:jc w:val="right"/>
              <w:rPr>
                <w:rFonts w:ascii="宋体" w:hAnsi="宋体" w:cs="宋体"/>
                <w:color w:val="000000"/>
                <w:szCs w:val="21"/>
              </w:rPr>
            </w:pPr>
          </w:p>
        </w:tc>
      </w:tr>
      <w:tr w:rsidR="006E273D">
        <w:trPr>
          <w:trHeight w:val="368"/>
        </w:trPr>
        <w:tc>
          <w:tcPr>
            <w:tcW w:w="8860" w:type="dxa"/>
            <w:gridSpan w:val="10"/>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hint="eastAsia"/>
                <w:color w:val="000000"/>
                <w:kern w:val="0"/>
                <w:szCs w:val="21"/>
              </w:rPr>
              <w:t xml:space="preserve">      </w:t>
            </w:r>
          </w:p>
        </w:tc>
      </w:tr>
    </w:tbl>
    <w:p w:rsidR="006E273D" w:rsidRDefault="006E273D">
      <w:pPr>
        <w:widowControl/>
        <w:spacing w:after="0" w:line="560" w:lineRule="exact"/>
        <w:jc w:val="left"/>
        <w:rPr>
          <w:rFonts w:ascii="仿宋_GB2312" w:eastAsia="仿宋_GB2312" w:hAnsiTheme="majorEastAsia"/>
          <w:b/>
          <w:sz w:val="28"/>
          <w:szCs w:val="28"/>
          <w:highlight w:val="yellow"/>
        </w:rPr>
        <w:sectPr w:rsidR="006E273D">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6E273D">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6E273D" w:rsidRDefault="00724371">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6E273D">
        <w:trPr>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6E273D" w:rsidRDefault="00724371">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w:t>
            </w:r>
            <w:r>
              <w:rPr>
                <w:rFonts w:ascii="宋体" w:hAnsi="宋体" w:cs="宋体" w:hint="eastAsia"/>
                <w:color w:val="000000"/>
                <w:kern w:val="0"/>
                <w:sz w:val="22"/>
                <w:szCs w:val="22"/>
              </w:rPr>
              <w:t>06</w:t>
            </w:r>
            <w:r>
              <w:rPr>
                <w:rFonts w:ascii="宋体" w:hAnsi="宋体" w:cs="宋体" w:hint="eastAsia"/>
                <w:color w:val="000000"/>
                <w:kern w:val="0"/>
                <w:sz w:val="22"/>
                <w:szCs w:val="22"/>
              </w:rPr>
              <w:t>表</w:t>
            </w:r>
          </w:p>
        </w:tc>
      </w:tr>
      <w:tr w:rsidR="006E273D">
        <w:trPr>
          <w:trHeight w:val="269"/>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Pr>
                <w:rFonts w:ascii="宋体" w:hAnsi="宋体" w:cs="宋体" w:hint="eastAsia"/>
                <w:color w:val="000000"/>
                <w:kern w:val="0"/>
                <w:sz w:val="20"/>
                <w:szCs w:val="20"/>
              </w:rPr>
              <w:t>廊坊市中共大厂县纪律检查委员会（本级）</w:t>
            </w:r>
          </w:p>
        </w:tc>
        <w:tc>
          <w:tcPr>
            <w:tcW w:w="74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6E273D" w:rsidRDefault="00724371">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6E273D">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6E273D">
        <w:trPr>
          <w:trHeight w:val="312"/>
          <w:jc w:val="center"/>
        </w:trPr>
        <w:tc>
          <w:tcPr>
            <w:tcW w:w="55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6E273D">
        <w:trPr>
          <w:trHeight w:val="312"/>
          <w:jc w:val="center"/>
        </w:trPr>
        <w:tc>
          <w:tcPr>
            <w:tcW w:w="55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pacing w:after="0" w:line="240" w:lineRule="auto"/>
              <w:jc w:val="center"/>
              <w:rPr>
                <w:rFonts w:ascii="宋体" w:hAnsi="宋体" w:cs="宋体"/>
                <w:color w:val="000000"/>
                <w:sz w:val="22"/>
                <w:szCs w:val="22"/>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775.24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451.23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220.61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办公费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48.58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343.30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印刷费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10.51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咨询费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76.55</w:t>
            </w: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手续费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4.07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水费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26.59</w:t>
            </w:r>
          </w:p>
        </w:tc>
      </w:tr>
      <w:tr w:rsidR="006E273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86.87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邮电费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48.60</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32.09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取暖费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9.44</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物业管理费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49.96</w:t>
            </w: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2.39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差旅费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21.63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52.14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因公出国（境）费用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维修（护）费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58.97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33.79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租赁费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159.11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会议费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培训费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25.07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公务接待费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68.41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专用材料费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被装购置费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3.06</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专用燃料费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0.10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劳务费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委托业务费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11.87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工会经费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6.62</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420"/>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155.95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福利费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7.14</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公务用车运行维护费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24.06</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其他交通费用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47.41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税金及附加费用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50.77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napToGrid w:val="0"/>
              <w:spacing w:after="0" w:line="240" w:lineRule="auto"/>
              <w:jc w:val="right"/>
              <w:rPr>
                <w:rFonts w:ascii="宋体" w:hAnsi="宋体" w:cs="宋体"/>
                <w:color w:val="000000"/>
                <w:sz w:val="20"/>
                <w:szCs w:val="20"/>
              </w:rPr>
            </w:pPr>
          </w:p>
        </w:tc>
      </w:tr>
      <w:tr w:rsidR="006E273D">
        <w:trPr>
          <w:trHeight w:val="317"/>
          <w:jc w:val="center"/>
        </w:trPr>
        <w:tc>
          <w:tcPr>
            <w:tcW w:w="215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934.34</w:t>
            </w:r>
          </w:p>
        </w:tc>
        <w:tc>
          <w:tcPr>
            <w:tcW w:w="5328"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527.78</w:t>
            </w:r>
          </w:p>
        </w:tc>
      </w:tr>
      <w:tr w:rsidR="006E273D">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hint="eastAsia"/>
                <w:color w:val="000000"/>
                <w:kern w:val="0"/>
                <w:sz w:val="20"/>
                <w:szCs w:val="20"/>
              </w:rPr>
              <w:t xml:space="preserve">        </w:t>
            </w:r>
          </w:p>
        </w:tc>
      </w:tr>
    </w:tbl>
    <w:p w:rsidR="006E273D" w:rsidRDefault="006E273D">
      <w:pPr>
        <w:widowControl/>
        <w:spacing w:after="0" w:line="560" w:lineRule="exact"/>
        <w:jc w:val="left"/>
        <w:rPr>
          <w:rFonts w:ascii="仿宋_GB2312" w:eastAsia="仿宋_GB2312" w:hAnsiTheme="majorEastAsia"/>
          <w:b/>
          <w:sz w:val="28"/>
          <w:szCs w:val="28"/>
          <w:highlight w:val="yellow"/>
        </w:rPr>
        <w:sectPr w:rsidR="006E273D">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6E273D">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6E273D">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07</w:t>
            </w:r>
            <w:r>
              <w:rPr>
                <w:rFonts w:ascii="宋体" w:hAnsi="宋体" w:cs="宋体" w:hint="eastAsia"/>
                <w:color w:val="000000"/>
                <w:kern w:val="0"/>
                <w:sz w:val="20"/>
                <w:szCs w:val="20"/>
              </w:rPr>
              <w:t>表</w:t>
            </w:r>
          </w:p>
        </w:tc>
      </w:tr>
      <w:tr w:rsidR="006E273D">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廊坊市中共大厂县纪律检查委员会（本级）</w:t>
            </w:r>
          </w:p>
        </w:tc>
        <w:tc>
          <w:tcPr>
            <w:tcW w:w="1527" w:type="dxa"/>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6E273D">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6E273D">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6E273D">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napToGrid w:val="0"/>
              <w:spacing w:after="0" w:line="240" w:lineRule="auto"/>
              <w:jc w:val="center"/>
              <w:rPr>
                <w:rFonts w:ascii="宋体" w:hAnsi="宋体" w:cs="宋体"/>
                <w:color w:val="000000"/>
                <w:szCs w:val="21"/>
              </w:rPr>
            </w:pPr>
          </w:p>
        </w:tc>
      </w:tr>
      <w:tr w:rsidR="006E273D">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6E273D">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14.59</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center"/>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14</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0.59</w:t>
            </w:r>
          </w:p>
        </w:tc>
      </w:tr>
      <w:tr w:rsidR="006E273D">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6E273D">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6E273D">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napToGrid w:val="0"/>
              <w:spacing w:after="0" w:line="240" w:lineRule="auto"/>
              <w:jc w:val="center"/>
              <w:rPr>
                <w:rFonts w:ascii="宋体" w:hAnsi="宋体" w:cs="宋体"/>
                <w:color w:val="000000"/>
                <w:szCs w:val="21"/>
              </w:rPr>
            </w:pPr>
          </w:p>
        </w:tc>
      </w:tr>
      <w:tr w:rsidR="006E273D">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6E273D">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92.59</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24.06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24.06</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68.53</w:t>
            </w:r>
          </w:p>
        </w:tc>
      </w:tr>
      <w:tr w:rsidR="006E273D">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hint="eastAsia"/>
                <w:color w:val="000000"/>
                <w:kern w:val="0"/>
                <w:szCs w:val="21"/>
              </w:rPr>
              <w:t xml:space="preserve">           </w:t>
            </w:r>
          </w:p>
        </w:tc>
      </w:tr>
    </w:tbl>
    <w:p w:rsidR="006E273D" w:rsidRDefault="006E273D">
      <w:pPr>
        <w:widowControl/>
        <w:spacing w:after="0" w:line="560" w:lineRule="exact"/>
        <w:jc w:val="left"/>
        <w:rPr>
          <w:rFonts w:ascii="仿宋_GB2312" w:eastAsia="仿宋_GB2312" w:hAnsiTheme="majorEastAsia"/>
          <w:b/>
          <w:sz w:val="28"/>
          <w:szCs w:val="28"/>
          <w:highlight w:val="yellow"/>
        </w:rPr>
        <w:sectPr w:rsidR="006E273D">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296"/>
        <w:gridCol w:w="191"/>
        <w:gridCol w:w="479"/>
        <w:gridCol w:w="669"/>
        <w:gridCol w:w="376"/>
        <w:gridCol w:w="1166"/>
        <w:gridCol w:w="840"/>
        <w:gridCol w:w="1191"/>
        <w:gridCol w:w="1192"/>
        <w:gridCol w:w="1192"/>
        <w:gridCol w:w="1268"/>
      </w:tblGrid>
      <w:tr w:rsidR="006E273D">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6E273D">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08</w:t>
            </w:r>
            <w:r>
              <w:rPr>
                <w:rFonts w:ascii="宋体" w:hAnsi="宋体" w:cs="宋体" w:hint="eastAsia"/>
                <w:color w:val="000000"/>
                <w:kern w:val="0"/>
                <w:szCs w:val="21"/>
              </w:rPr>
              <w:t>表</w:t>
            </w:r>
          </w:p>
        </w:tc>
      </w:tr>
      <w:tr w:rsidR="006E273D">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廊坊市中共大厂县纪律检查委员会（本级）</w:t>
            </w:r>
          </w:p>
        </w:tc>
        <w:tc>
          <w:tcPr>
            <w:tcW w:w="84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6E273D">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6E273D">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r>
      <w:tr w:rsidR="006E273D">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r>
      <w:tr w:rsidR="006E273D">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6E273D">
            <w:pPr>
              <w:widowControl/>
              <w:adjustRightInd w:val="0"/>
              <w:spacing w:after="0" w:line="240" w:lineRule="auto"/>
              <w:jc w:val="center"/>
              <w:rPr>
                <w:rFonts w:ascii="宋体" w:hAnsi="宋体" w:cs="宋体"/>
                <w:color w:val="000000"/>
                <w:szCs w:val="21"/>
              </w:rPr>
            </w:pPr>
          </w:p>
        </w:tc>
      </w:tr>
      <w:tr w:rsidR="006E273D">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6E273D">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b/>
                <w:color w:val="000000"/>
                <w:szCs w:val="21"/>
              </w:rPr>
            </w:pPr>
          </w:p>
        </w:tc>
      </w:tr>
      <w:tr w:rsidR="006E273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r>
      <w:tr w:rsidR="006E273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r>
      <w:tr w:rsidR="006E273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r>
      <w:tr w:rsidR="006E273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r>
      <w:tr w:rsidR="006E273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r>
      <w:tr w:rsidR="006E273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r>
      <w:tr w:rsidR="006E273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r>
      <w:tr w:rsidR="006E273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r>
      <w:tr w:rsidR="006E273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r>
      <w:tr w:rsidR="006E273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pacing w:after="0" w:line="240" w:lineRule="auto"/>
              <w:jc w:val="right"/>
              <w:rPr>
                <w:rFonts w:ascii="宋体" w:hAnsi="宋体" w:cs="宋体"/>
                <w:color w:val="000000"/>
                <w:szCs w:val="21"/>
              </w:rPr>
            </w:pPr>
          </w:p>
        </w:tc>
      </w:tr>
      <w:tr w:rsidR="006E273D">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szCs w:val="21"/>
              </w:rPr>
              <w:t>本部门本年度无相关收入（或支出、收支及结转结余等）情况，按要求空表列示。</w:t>
            </w:r>
            <w:r>
              <w:rPr>
                <w:rFonts w:ascii="宋体" w:hAnsi="宋体" w:cs="宋体" w:hint="eastAsia"/>
                <w:color w:val="000000"/>
                <w:kern w:val="0"/>
                <w:szCs w:val="21"/>
              </w:rPr>
              <w:t xml:space="preserve">      </w:t>
            </w:r>
          </w:p>
        </w:tc>
      </w:tr>
    </w:tbl>
    <w:p w:rsidR="006E273D" w:rsidRDefault="006E273D">
      <w:pPr>
        <w:widowControl/>
        <w:spacing w:after="0" w:line="560" w:lineRule="exact"/>
        <w:jc w:val="left"/>
        <w:rPr>
          <w:rFonts w:ascii="仿宋_GB2312" w:eastAsia="仿宋_GB2312" w:hAnsiTheme="majorEastAsia"/>
          <w:b/>
          <w:sz w:val="28"/>
          <w:szCs w:val="28"/>
          <w:highlight w:val="yellow"/>
        </w:rPr>
        <w:sectPr w:rsidR="006E273D">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tblPr>
      <w:tblGrid>
        <w:gridCol w:w="442"/>
        <w:gridCol w:w="208"/>
        <w:gridCol w:w="504"/>
        <w:gridCol w:w="274"/>
        <w:gridCol w:w="894"/>
        <w:gridCol w:w="783"/>
        <w:gridCol w:w="252"/>
        <w:gridCol w:w="1646"/>
        <w:gridCol w:w="359"/>
        <w:gridCol w:w="1539"/>
        <w:gridCol w:w="1899"/>
      </w:tblGrid>
      <w:tr w:rsidR="006E273D">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6E273D">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w:t>
            </w:r>
            <w:r>
              <w:rPr>
                <w:rFonts w:ascii="宋体" w:hAnsi="宋体" w:cs="宋体" w:hint="eastAsia"/>
                <w:color w:val="000000"/>
                <w:kern w:val="0"/>
                <w:sz w:val="22"/>
                <w:szCs w:val="22"/>
              </w:rPr>
              <w:t>09</w:t>
            </w:r>
            <w:r>
              <w:rPr>
                <w:rFonts w:ascii="宋体" w:hAnsi="宋体" w:cs="宋体" w:hint="eastAsia"/>
                <w:color w:val="000000"/>
                <w:kern w:val="0"/>
                <w:sz w:val="22"/>
                <w:szCs w:val="22"/>
              </w:rPr>
              <w:t>表</w:t>
            </w:r>
          </w:p>
        </w:tc>
      </w:tr>
      <w:tr w:rsidR="006E273D">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Pr>
                <w:rFonts w:ascii="宋体" w:hAnsi="宋体" w:cs="宋体" w:hint="eastAsia"/>
                <w:color w:val="000000"/>
                <w:kern w:val="0"/>
                <w:sz w:val="20"/>
                <w:szCs w:val="20"/>
              </w:rPr>
              <w:t>廊坊市中共大厂县纪律检查委员会（本级）</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6E273D">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6E273D">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6E273D">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6E273D">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r>
      <w:tr w:rsidR="006E273D">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r>
      <w:tr w:rsidR="006E273D">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r>
      <w:tr w:rsidR="006E273D">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r>
      <w:tr w:rsidR="006E273D">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r>
      <w:tr w:rsidR="006E273D">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r>
      <w:tr w:rsidR="006E273D">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spacing w:after="0" w:line="240" w:lineRule="auto"/>
              <w:jc w:val="right"/>
              <w:rPr>
                <w:rFonts w:ascii="宋体" w:hAnsi="宋体" w:cs="宋体"/>
                <w:color w:val="000000"/>
                <w:sz w:val="22"/>
                <w:szCs w:val="22"/>
              </w:rPr>
            </w:pPr>
          </w:p>
        </w:tc>
      </w:tr>
      <w:tr w:rsidR="006E273D">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6E273D" w:rsidRDefault="00724371">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w:t>
            </w:r>
            <w:r>
              <w:rPr>
                <w:rFonts w:ascii="宋体" w:hAnsi="宋体" w:cs="宋体" w:hint="eastAsia"/>
                <w:szCs w:val="21"/>
              </w:rPr>
              <w:t>本部门本年度无相关收入（或支出、收支及结转结余等）情况，按要求空表列示。</w:t>
            </w:r>
          </w:p>
        </w:tc>
      </w:tr>
    </w:tbl>
    <w:p w:rsidR="006E273D" w:rsidRDefault="006E273D">
      <w:pPr>
        <w:widowControl/>
        <w:spacing w:after="0" w:line="560" w:lineRule="exact"/>
        <w:jc w:val="left"/>
        <w:rPr>
          <w:rFonts w:ascii="仿宋_GB2312" w:eastAsia="仿宋_GB2312" w:hAnsiTheme="majorEastAsia"/>
          <w:b/>
          <w:sz w:val="28"/>
          <w:szCs w:val="28"/>
          <w:highlight w:val="yellow"/>
        </w:rPr>
        <w:sectPr w:rsidR="006E273D">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6E273D">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6E273D">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10</w:t>
            </w:r>
            <w:r>
              <w:rPr>
                <w:rFonts w:ascii="宋体" w:hAnsi="宋体" w:cs="宋体" w:hint="eastAsia"/>
                <w:color w:val="000000"/>
                <w:kern w:val="0"/>
                <w:szCs w:val="21"/>
              </w:rPr>
              <w:t>表</w:t>
            </w:r>
          </w:p>
        </w:tc>
      </w:tr>
      <w:tr w:rsidR="006E273D">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Pr>
                <w:rFonts w:ascii="宋体" w:hAnsi="宋体" w:cs="宋体" w:hint="eastAsia"/>
                <w:color w:val="000000"/>
                <w:kern w:val="0"/>
                <w:sz w:val="20"/>
                <w:szCs w:val="20"/>
              </w:rPr>
              <w:t>廊坊市中共大厂县纪律检查委员会（本级）</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6E273D">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6E273D">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6E273D">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center"/>
              <w:rPr>
                <w:rFonts w:ascii="宋体" w:hAnsi="宋体" w:cs="宋体"/>
                <w:color w:val="000000"/>
                <w:szCs w:val="21"/>
              </w:rPr>
            </w:pPr>
          </w:p>
        </w:tc>
      </w:tr>
      <w:tr w:rsidR="006E273D">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6E273D">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r>
      <w:tr w:rsidR="006E273D">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r>
      <w:tr w:rsidR="006E273D">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r>
      <w:tr w:rsidR="006E273D">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r>
      <w:tr w:rsidR="006E273D">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6E273D">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6E273D">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center"/>
              <w:rPr>
                <w:rFonts w:ascii="宋体" w:hAnsi="宋体" w:cs="宋体"/>
                <w:color w:val="000000"/>
                <w:szCs w:val="21"/>
              </w:rPr>
            </w:pPr>
          </w:p>
        </w:tc>
      </w:tr>
      <w:tr w:rsidR="006E273D">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6E273D">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r>
      <w:tr w:rsidR="006E273D">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r>
      <w:tr w:rsidR="006E273D">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r>
      <w:tr w:rsidR="006E273D">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E273D" w:rsidRDefault="006E273D">
            <w:pPr>
              <w:widowControl/>
              <w:adjustRightInd w:val="0"/>
              <w:snapToGrid w:val="0"/>
              <w:spacing w:after="0" w:line="240" w:lineRule="auto"/>
              <w:jc w:val="right"/>
              <w:rPr>
                <w:rFonts w:ascii="宋体" w:hAnsi="宋体" w:cs="宋体"/>
                <w:color w:val="000000"/>
                <w:szCs w:val="21"/>
              </w:rPr>
            </w:pPr>
          </w:p>
        </w:tc>
      </w:tr>
      <w:tr w:rsidR="006E273D">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6E273D" w:rsidRDefault="00724371">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szCs w:val="21"/>
              </w:rPr>
              <w:t>本部门本年度无相关收入（或支出、收支及结转结余等）情况，按要求空表列示。</w:t>
            </w:r>
            <w:r>
              <w:rPr>
                <w:rFonts w:ascii="宋体" w:hAnsi="宋体" w:cs="宋体" w:hint="eastAsia"/>
                <w:color w:val="000000"/>
                <w:kern w:val="0"/>
                <w:szCs w:val="21"/>
              </w:rPr>
              <w:t xml:space="preserve"> </w:t>
            </w:r>
            <w:r>
              <w:rPr>
                <w:rFonts w:ascii="宋体" w:hAnsi="宋体" w:cs="宋体" w:hint="eastAsia"/>
                <w:color w:val="000000"/>
                <w:kern w:val="0"/>
                <w:szCs w:val="21"/>
              </w:rPr>
              <w:t xml:space="preserve">    </w:t>
            </w:r>
          </w:p>
        </w:tc>
      </w:tr>
    </w:tbl>
    <w:p w:rsidR="006E273D" w:rsidRDefault="006E273D">
      <w:pPr>
        <w:widowControl/>
        <w:spacing w:after="0" w:line="560" w:lineRule="exact"/>
        <w:jc w:val="left"/>
        <w:rPr>
          <w:rFonts w:ascii="仿宋_GB2312" w:eastAsia="仿宋_GB2312" w:hAnsiTheme="majorEastAsia"/>
          <w:b/>
          <w:sz w:val="28"/>
          <w:szCs w:val="28"/>
          <w:highlight w:val="yellow"/>
        </w:rPr>
      </w:pPr>
    </w:p>
    <w:p w:rsidR="006E273D" w:rsidRDefault="006E273D"/>
    <w:p w:rsidR="006E273D" w:rsidRDefault="006E273D"/>
    <w:p w:rsidR="006E273D" w:rsidRDefault="006E273D"/>
    <w:p w:rsidR="006E273D" w:rsidRDefault="006E273D"/>
    <w:p w:rsidR="006E273D" w:rsidRDefault="00724371">
      <w:pPr>
        <w:tabs>
          <w:tab w:val="left" w:pos="1086"/>
        </w:tabs>
        <w:jc w:val="left"/>
        <w:rPr>
          <w:rFonts w:ascii="仿宋_GB2312" w:eastAsia="仿宋_GB2312" w:hAnsiTheme="majorEastAsia"/>
          <w:b/>
          <w:sz w:val="28"/>
          <w:szCs w:val="28"/>
          <w:highlight w:val="yellow"/>
        </w:rPr>
        <w:sectPr w:rsidR="006E273D">
          <w:pgSz w:w="11906" w:h="16838"/>
          <w:pgMar w:top="2098" w:right="1474" w:bottom="1984" w:left="1588" w:header="851" w:footer="992" w:gutter="0"/>
          <w:cols w:space="0"/>
          <w:docGrid w:type="lines" w:linePitch="312"/>
        </w:sectPr>
      </w:pPr>
      <w:r>
        <w:rPr>
          <w:rFonts w:hint="eastAsia"/>
        </w:rPr>
        <w:tab/>
      </w:r>
    </w:p>
    <w:p w:rsidR="006E273D" w:rsidRDefault="006E273D">
      <w:pPr>
        <w:widowControl/>
        <w:spacing w:line="1200" w:lineRule="exact"/>
        <w:jc w:val="center"/>
        <w:rPr>
          <w:rFonts w:asciiTheme="minorEastAsia" w:eastAsiaTheme="minorEastAsia" w:hAnsi="宋体"/>
          <w:color w:val="000000" w:themeColor="text1"/>
          <w:sz w:val="96"/>
          <w:szCs w:val="96"/>
        </w:rPr>
      </w:pPr>
    </w:p>
    <w:p w:rsidR="006E273D" w:rsidRDefault="006E273D">
      <w:pPr>
        <w:widowControl/>
        <w:spacing w:line="1200" w:lineRule="exact"/>
        <w:jc w:val="center"/>
        <w:rPr>
          <w:rFonts w:asciiTheme="minorEastAsia" w:eastAsiaTheme="minorEastAsia" w:hAnsi="宋体"/>
          <w:color w:val="000000" w:themeColor="text1"/>
          <w:sz w:val="96"/>
          <w:szCs w:val="96"/>
        </w:rPr>
      </w:pPr>
    </w:p>
    <w:p w:rsidR="006E273D" w:rsidRDefault="006E273D">
      <w:pPr>
        <w:widowControl/>
        <w:spacing w:line="1200" w:lineRule="exact"/>
        <w:jc w:val="center"/>
        <w:rPr>
          <w:rFonts w:asciiTheme="minorEastAsia" w:eastAsiaTheme="minorEastAsia" w:hAnsi="宋体"/>
          <w:color w:val="000000" w:themeColor="text1"/>
          <w:sz w:val="96"/>
          <w:szCs w:val="96"/>
        </w:rPr>
      </w:pPr>
    </w:p>
    <w:p w:rsidR="006E273D" w:rsidRDefault="00724371">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6E273D" w:rsidRDefault="00724371">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部门决算情况说明</w:t>
      </w:r>
    </w:p>
    <w:p w:rsidR="006E273D" w:rsidRDefault="006E273D">
      <w:pPr>
        <w:rPr>
          <w:rFonts w:ascii="宋体" w:hAnsi="宋体" w:cs="ArialUnicodeMS"/>
          <w:color w:val="000000"/>
          <w:kern w:val="0"/>
        </w:rPr>
        <w:sectPr w:rsidR="006E273D">
          <w:pgSz w:w="11906" w:h="16838"/>
          <w:pgMar w:top="2098" w:right="1474" w:bottom="1984" w:left="1588" w:header="851" w:footer="992" w:gutter="0"/>
          <w:cols w:space="0"/>
          <w:docGrid w:type="lines" w:linePitch="312"/>
        </w:sectPr>
      </w:pPr>
    </w:p>
    <w:p w:rsidR="006E273D" w:rsidRDefault="00724371">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6E273D" w:rsidRDefault="0072437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年度收支总计（含结转和结余）</w:t>
      </w:r>
      <w:r>
        <w:rPr>
          <w:rFonts w:ascii="仿宋_GB2312" w:eastAsia="仿宋_GB2312" w:cs="DengXian-Regular" w:hint="eastAsia"/>
          <w:sz w:val="32"/>
          <w:szCs w:val="32"/>
        </w:rPr>
        <w:t>1526.75</w:t>
      </w:r>
      <w:r>
        <w:rPr>
          <w:rFonts w:ascii="仿宋_GB2312" w:eastAsia="仿宋_GB2312" w:cs="DengXian-Regular" w:hint="eastAsia"/>
          <w:sz w:val="32"/>
          <w:szCs w:val="32"/>
        </w:rPr>
        <w:t>万元。与</w:t>
      </w:r>
      <w:r>
        <w:rPr>
          <w:rFonts w:ascii="仿宋_GB2312" w:eastAsia="仿宋_GB2312" w:cs="DengXian-Regular" w:hint="eastAsia"/>
          <w:sz w:val="32"/>
          <w:szCs w:val="32"/>
        </w:rPr>
        <w:t>2017</w:t>
      </w:r>
      <w:r>
        <w:rPr>
          <w:rFonts w:ascii="仿宋_GB2312" w:eastAsia="仿宋_GB2312" w:cs="DengXian-Regular" w:hint="eastAsia"/>
          <w:sz w:val="32"/>
          <w:szCs w:val="32"/>
        </w:rPr>
        <w:t>年度决算相比，收</w:t>
      </w:r>
      <w:r>
        <w:rPr>
          <w:rFonts w:ascii="仿宋_GB2312" w:eastAsia="仿宋_GB2312" w:cs="DengXian-Regular" w:hint="eastAsia"/>
          <w:sz w:val="32"/>
          <w:szCs w:val="32"/>
        </w:rPr>
        <w:t>入</w:t>
      </w:r>
      <w:r>
        <w:rPr>
          <w:rFonts w:ascii="仿宋_GB2312" w:eastAsia="仿宋_GB2312" w:cs="DengXian-Regular" w:hint="eastAsia"/>
          <w:sz w:val="32"/>
          <w:szCs w:val="32"/>
        </w:rPr>
        <w:t>增加</w:t>
      </w:r>
      <w:r>
        <w:rPr>
          <w:rFonts w:ascii="仿宋_GB2312" w:eastAsia="仿宋_GB2312" w:cs="DengXian-Regular" w:hint="eastAsia"/>
          <w:sz w:val="32"/>
          <w:szCs w:val="32"/>
        </w:rPr>
        <w:t>147.51</w:t>
      </w:r>
      <w:r>
        <w:rPr>
          <w:rFonts w:ascii="仿宋_GB2312" w:eastAsia="仿宋_GB2312" w:cs="DengXian-Regular" w:hint="eastAsia"/>
          <w:sz w:val="32"/>
          <w:szCs w:val="32"/>
        </w:rPr>
        <w:t>万元，增长</w:t>
      </w:r>
      <w:r>
        <w:rPr>
          <w:rFonts w:ascii="仿宋_GB2312" w:eastAsia="仿宋_GB2312" w:cs="DengXian-Regular" w:hint="eastAsia"/>
          <w:sz w:val="32"/>
          <w:szCs w:val="32"/>
        </w:rPr>
        <w:t>10</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机构改革经费及接待省市巡察专项经费</w:t>
      </w:r>
      <w:r>
        <w:rPr>
          <w:rFonts w:ascii="仿宋_GB2312" w:eastAsia="仿宋_GB2312" w:cs="DengXian-Regular" w:hint="eastAsia"/>
          <w:sz w:val="32"/>
          <w:szCs w:val="32"/>
        </w:rPr>
        <w:t>。</w:t>
      </w:r>
      <w:r>
        <w:rPr>
          <w:rFonts w:ascii="仿宋_GB2312" w:eastAsia="仿宋_GB2312" w:cs="DengXian-Regular" w:hint="eastAsia"/>
          <w:sz w:val="32"/>
          <w:szCs w:val="32"/>
        </w:rPr>
        <w:t>支出增加</w:t>
      </w:r>
      <w:r>
        <w:rPr>
          <w:rFonts w:ascii="仿宋_GB2312" w:eastAsia="仿宋_GB2312" w:cs="DengXian-Regular" w:hint="eastAsia"/>
          <w:sz w:val="32"/>
          <w:szCs w:val="32"/>
        </w:rPr>
        <w:t>42.08</w:t>
      </w:r>
      <w:r>
        <w:rPr>
          <w:rFonts w:ascii="仿宋_GB2312" w:eastAsia="仿宋_GB2312" w:cs="DengXian-Regular" w:hint="eastAsia"/>
          <w:sz w:val="32"/>
          <w:szCs w:val="32"/>
        </w:rPr>
        <w:t>万元，增长</w:t>
      </w:r>
      <w:r>
        <w:rPr>
          <w:rFonts w:ascii="仿宋_GB2312" w:eastAsia="仿宋_GB2312" w:cs="DengXian-Regular" w:hint="eastAsia"/>
          <w:sz w:val="32"/>
          <w:szCs w:val="32"/>
        </w:rPr>
        <w:t>3%</w:t>
      </w:r>
      <w:r>
        <w:rPr>
          <w:rFonts w:ascii="仿宋_GB2312" w:eastAsia="仿宋_GB2312" w:cs="DengXian-Regular" w:hint="eastAsia"/>
          <w:sz w:val="32"/>
          <w:szCs w:val="32"/>
        </w:rPr>
        <w:t>，主要是房屋改造、维修、搬迁、办公设备购置以及接待省市巡察组工作。</w:t>
      </w:r>
    </w:p>
    <w:p w:rsidR="006E273D" w:rsidRDefault="00724371">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6E273D" w:rsidRDefault="0072437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年度本年收入合计</w:t>
      </w:r>
      <w:r>
        <w:rPr>
          <w:rFonts w:ascii="仿宋_GB2312" w:eastAsia="仿宋_GB2312" w:cs="DengXian-Regular" w:hint="eastAsia"/>
          <w:sz w:val="32"/>
          <w:szCs w:val="32"/>
        </w:rPr>
        <w:t>1446.91</w:t>
      </w:r>
      <w:r>
        <w:rPr>
          <w:rFonts w:ascii="仿宋_GB2312" w:eastAsia="仿宋_GB2312" w:cs="DengXian-Regular" w:hint="eastAsia"/>
          <w:sz w:val="32"/>
          <w:szCs w:val="32"/>
        </w:rPr>
        <w:t>万元，其中：财政拨款收入</w:t>
      </w:r>
      <w:r>
        <w:rPr>
          <w:rFonts w:ascii="仿宋_GB2312" w:eastAsia="仿宋_GB2312" w:cs="DengXian-Regular" w:hint="eastAsia"/>
          <w:sz w:val="32"/>
          <w:szCs w:val="32"/>
        </w:rPr>
        <w:t>1446.91</w:t>
      </w:r>
      <w:r>
        <w:rPr>
          <w:rFonts w:ascii="仿宋_GB2312" w:eastAsia="仿宋_GB2312" w:cs="DengXian-Regular" w:hint="eastAsia"/>
          <w:sz w:val="32"/>
          <w:szCs w:val="32"/>
        </w:rPr>
        <w:t>万元，占</w:t>
      </w:r>
      <w:r>
        <w:rPr>
          <w:rFonts w:ascii="仿宋_GB2312" w:eastAsia="仿宋_GB2312" w:cs="DengXian-Regular" w:hint="eastAsia"/>
          <w:sz w:val="32"/>
          <w:szCs w:val="32"/>
        </w:rPr>
        <w:t>100</w:t>
      </w:r>
      <w:r>
        <w:rPr>
          <w:rFonts w:ascii="仿宋_GB2312" w:eastAsia="仿宋_GB2312" w:cs="DengXian-Regular" w:hint="eastAsia"/>
          <w:sz w:val="32"/>
          <w:szCs w:val="32"/>
        </w:rPr>
        <w:t>%</w:t>
      </w:r>
      <w:r>
        <w:rPr>
          <w:rFonts w:ascii="仿宋_GB2312" w:eastAsia="仿宋_GB2312" w:cs="DengXian-Regular" w:hint="eastAsia"/>
          <w:sz w:val="32"/>
          <w:szCs w:val="32"/>
        </w:rPr>
        <w:t>；如图所示：</w:t>
      </w:r>
    </w:p>
    <w:p w:rsidR="006E273D" w:rsidRDefault="00724371">
      <w:pPr>
        <w:adjustRightInd w:val="0"/>
        <w:snapToGrid w:val="0"/>
        <w:spacing w:line="584" w:lineRule="exact"/>
        <w:jc w:val="center"/>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6E273D" w:rsidRDefault="00724371">
      <w:pPr>
        <w:rPr>
          <w:rFonts w:ascii="黑体" w:eastAsia="黑体" w:hAnsiTheme="majorHAnsi" w:cstheme="majorBidi"/>
          <w:sz w:val="32"/>
          <w:szCs w:val="32"/>
        </w:rPr>
      </w:pPr>
      <w:r>
        <w:rPr>
          <w:noProof/>
        </w:rPr>
        <w:drawing>
          <wp:inline distT="0" distB="0" distL="114300" distR="114300">
            <wp:extent cx="5265420" cy="2758440"/>
            <wp:effectExtent l="4445" t="4445" r="18415" b="1079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273D" w:rsidRDefault="006E273D"/>
    <w:p w:rsidR="006E273D" w:rsidRDefault="00724371">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6E273D" w:rsidRDefault="0072437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年度本年支出合计</w:t>
      </w:r>
      <w:r>
        <w:rPr>
          <w:rFonts w:ascii="仿宋_GB2312" w:eastAsia="仿宋_GB2312" w:cs="DengXian-Regular" w:hint="eastAsia"/>
          <w:sz w:val="32"/>
          <w:szCs w:val="32"/>
        </w:rPr>
        <w:t>1464.22</w:t>
      </w:r>
      <w:r>
        <w:rPr>
          <w:rFonts w:ascii="仿宋_GB2312" w:eastAsia="仿宋_GB2312" w:cs="DengXian-Regular" w:hint="eastAsia"/>
          <w:sz w:val="32"/>
          <w:szCs w:val="32"/>
        </w:rPr>
        <w:t>万元，其中：基本</w:t>
      </w:r>
      <w:r>
        <w:rPr>
          <w:noProof/>
        </w:rPr>
        <w:lastRenderedPageBreak/>
        <w:drawing>
          <wp:anchor distT="0" distB="0" distL="114300" distR="114300" simplePos="0" relativeHeight="251658240" behindDoc="0" locked="0" layoutInCell="1" allowOverlap="1">
            <wp:simplePos x="0" y="0"/>
            <wp:positionH relativeFrom="column">
              <wp:posOffset>1170305</wp:posOffset>
            </wp:positionH>
            <wp:positionV relativeFrom="paragraph">
              <wp:posOffset>1415415</wp:posOffset>
            </wp:positionV>
            <wp:extent cx="3672840" cy="2842260"/>
            <wp:effectExtent l="4445" t="4445" r="10795" b="18415"/>
            <wp:wrapTopAndBottom/>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_GB2312" w:eastAsia="仿宋_GB2312" w:cs="DengXian-Regular" w:hint="eastAsia"/>
          <w:sz w:val="32"/>
          <w:szCs w:val="32"/>
        </w:rPr>
        <w:t>支出</w:t>
      </w:r>
      <w:r>
        <w:rPr>
          <w:rFonts w:ascii="仿宋_GB2312" w:eastAsia="仿宋_GB2312" w:cs="DengXian-Regular" w:hint="eastAsia"/>
          <w:sz w:val="32"/>
          <w:szCs w:val="32"/>
        </w:rPr>
        <w:t>1462.12</w:t>
      </w:r>
      <w:r>
        <w:rPr>
          <w:rFonts w:ascii="仿宋_GB2312" w:eastAsia="仿宋_GB2312" w:cs="DengXian-Regular" w:hint="eastAsia"/>
          <w:sz w:val="32"/>
          <w:szCs w:val="32"/>
        </w:rPr>
        <w:t>万元，占</w:t>
      </w:r>
      <w:r>
        <w:rPr>
          <w:rFonts w:ascii="仿宋_GB2312" w:eastAsia="仿宋_GB2312" w:cs="DengXian-Regular" w:hint="eastAsia"/>
          <w:sz w:val="32"/>
          <w:szCs w:val="32"/>
        </w:rPr>
        <w:t>99</w:t>
      </w:r>
      <w:r>
        <w:rPr>
          <w:rFonts w:ascii="仿宋_GB2312" w:eastAsia="仿宋_GB2312" w:cs="DengXian-Regular" w:hint="eastAsia"/>
          <w:sz w:val="32"/>
          <w:szCs w:val="32"/>
        </w:rPr>
        <w:t>%</w:t>
      </w:r>
      <w:r>
        <w:rPr>
          <w:rFonts w:ascii="仿宋_GB2312" w:eastAsia="仿宋_GB2312" w:cs="DengXian-Regular" w:hint="eastAsia"/>
          <w:sz w:val="32"/>
          <w:szCs w:val="32"/>
        </w:rPr>
        <w:t>；项目支出</w:t>
      </w:r>
      <w:r>
        <w:rPr>
          <w:rFonts w:ascii="仿宋_GB2312" w:eastAsia="仿宋_GB2312" w:cs="DengXian-Regular" w:hint="eastAsia"/>
          <w:sz w:val="32"/>
          <w:szCs w:val="32"/>
        </w:rPr>
        <w:t>2.1</w:t>
      </w:r>
      <w:r>
        <w:rPr>
          <w:rFonts w:ascii="仿宋_GB2312" w:eastAsia="仿宋_GB2312" w:cs="DengXian-Regular" w:hint="eastAsia"/>
          <w:sz w:val="32"/>
          <w:szCs w:val="32"/>
        </w:rPr>
        <w:t>万元，占</w:t>
      </w:r>
      <w:r>
        <w:rPr>
          <w:rFonts w:ascii="仿宋_GB2312" w:eastAsia="仿宋_GB2312" w:cs="DengXian-Regular" w:hint="eastAsia"/>
          <w:sz w:val="32"/>
          <w:szCs w:val="32"/>
        </w:rPr>
        <w:t>1</w:t>
      </w:r>
      <w:r>
        <w:rPr>
          <w:rFonts w:ascii="仿宋_GB2312" w:eastAsia="仿宋_GB2312" w:cs="DengXian-Regular" w:hint="eastAsia"/>
          <w:sz w:val="32"/>
          <w:szCs w:val="32"/>
        </w:rPr>
        <w:t>%</w:t>
      </w:r>
      <w:r>
        <w:rPr>
          <w:rFonts w:ascii="仿宋_GB2312" w:eastAsia="仿宋_GB2312" w:cs="DengXian-Regular" w:hint="eastAsia"/>
          <w:sz w:val="32"/>
          <w:szCs w:val="32"/>
        </w:rPr>
        <w:t>；如图所示：</w:t>
      </w:r>
    </w:p>
    <w:p w:rsidR="006E273D" w:rsidRDefault="00724371">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w:t>
      </w:r>
      <w:r>
        <w:rPr>
          <w:rFonts w:eastAsia="仿宋_GB2312"/>
          <w:sz w:val="32"/>
          <w:szCs w:val="32"/>
        </w:rPr>
        <w:t>2</w:t>
      </w:r>
      <w:r>
        <w:rPr>
          <w:rFonts w:eastAsia="仿宋_GB2312"/>
          <w:sz w:val="32"/>
          <w:szCs w:val="32"/>
        </w:rPr>
        <w:t>：支出决算结构饼状图</w:t>
      </w:r>
    </w:p>
    <w:p w:rsidR="006E273D" w:rsidRDefault="00724371">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6E273D" w:rsidRDefault="00724371">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2017</w:t>
      </w:r>
      <w:r>
        <w:rPr>
          <w:rFonts w:ascii="楷体_GB2312" w:eastAsia="楷体_GB2312" w:cs="DengXian-Bold" w:hint="eastAsia"/>
          <w:b/>
          <w:bCs/>
          <w:sz w:val="32"/>
          <w:szCs w:val="32"/>
        </w:rPr>
        <w:t xml:space="preserve"> </w:t>
      </w:r>
      <w:r>
        <w:rPr>
          <w:rFonts w:ascii="楷体_GB2312" w:eastAsia="楷体_GB2312" w:cs="DengXian-Bold" w:hint="eastAsia"/>
          <w:b/>
          <w:bCs/>
          <w:sz w:val="32"/>
          <w:szCs w:val="32"/>
        </w:rPr>
        <w:t>年度决算对比情况</w:t>
      </w:r>
    </w:p>
    <w:p w:rsidR="006E273D" w:rsidRDefault="0072437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hint="eastAsia"/>
          <w:sz w:val="32"/>
          <w:szCs w:val="32"/>
        </w:rPr>
        <w:t>1446.91</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2017</w:t>
      </w:r>
      <w:r>
        <w:rPr>
          <w:rFonts w:ascii="仿宋_GB2312" w:eastAsia="仿宋_GB2312" w:cs="DengXian-Regular" w:hint="eastAsia"/>
          <w:sz w:val="32"/>
          <w:szCs w:val="32"/>
        </w:rPr>
        <w:t>年度增加</w:t>
      </w:r>
      <w:r>
        <w:rPr>
          <w:rFonts w:ascii="仿宋_GB2312" w:eastAsia="仿宋_GB2312" w:cs="DengXian-Regular" w:hint="eastAsia"/>
          <w:sz w:val="32"/>
          <w:szCs w:val="32"/>
        </w:rPr>
        <w:t>147.51</w:t>
      </w:r>
      <w:r>
        <w:rPr>
          <w:rFonts w:ascii="仿宋_GB2312" w:eastAsia="仿宋_GB2312" w:cs="DengXian-Regular" w:hint="eastAsia"/>
          <w:sz w:val="32"/>
          <w:szCs w:val="32"/>
        </w:rPr>
        <w:t>万元，增长</w:t>
      </w:r>
      <w:r>
        <w:rPr>
          <w:rFonts w:ascii="仿宋_GB2312" w:eastAsia="仿宋_GB2312" w:cs="DengXian-Regular" w:hint="eastAsia"/>
          <w:sz w:val="32"/>
          <w:szCs w:val="32"/>
        </w:rPr>
        <w:t>10</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机构改革经费、专案经费及接待省市巡察专项经费</w:t>
      </w:r>
      <w:r>
        <w:rPr>
          <w:rFonts w:ascii="仿宋_GB2312" w:eastAsia="仿宋_GB2312" w:cs="DengXian-Regular" w:hint="eastAsia"/>
          <w:sz w:val="32"/>
          <w:szCs w:val="32"/>
        </w:rPr>
        <w:t>；本年支出</w:t>
      </w:r>
      <w:r>
        <w:rPr>
          <w:rFonts w:ascii="仿宋_GB2312" w:eastAsia="仿宋_GB2312" w:cs="DengXian-Regular" w:hint="eastAsia"/>
          <w:sz w:val="32"/>
          <w:szCs w:val="32"/>
        </w:rPr>
        <w:t>1464.22</w:t>
      </w:r>
      <w:r>
        <w:rPr>
          <w:rFonts w:ascii="仿宋_GB2312" w:eastAsia="仿宋_GB2312" w:cs="DengXian-Regular" w:hint="eastAsia"/>
          <w:sz w:val="32"/>
          <w:szCs w:val="32"/>
        </w:rPr>
        <w:t>万元，比</w:t>
      </w:r>
      <w:r>
        <w:rPr>
          <w:rFonts w:ascii="仿宋_GB2312" w:eastAsia="仿宋_GB2312" w:cs="DengXian-Regular" w:hint="eastAsia"/>
          <w:sz w:val="32"/>
          <w:szCs w:val="32"/>
        </w:rPr>
        <w:t>2017</w:t>
      </w:r>
      <w:r>
        <w:rPr>
          <w:rFonts w:ascii="仿宋_GB2312" w:eastAsia="仿宋_GB2312" w:cs="DengXian-Regular" w:hint="eastAsia"/>
          <w:sz w:val="32"/>
          <w:szCs w:val="32"/>
        </w:rPr>
        <w:t>年度增加</w:t>
      </w:r>
      <w:r>
        <w:rPr>
          <w:rFonts w:ascii="仿宋_GB2312" w:eastAsia="仿宋_GB2312" w:cs="DengXian-Regular" w:hint="eastAsia"/>
          <w:sz w:val="32"/>
          <w:szCs w:val="32"/>
        </w:rPr>
        <w:t>42.08</w:t>
      </w:r>
      <w:r>
        <w:rPr>
          <w:rFonts w:ascii="仿宋_GB2312" w:eastAsia="仿宋_GB2312" w:cs="DengXian-Regular" w:hint="eastAsia"/>
          <w:sz w:val="32"/>
          <w:szCs w:val="32"/>
        </w:rPr>
        <w:t>万元，增长</w:t>
      </w:r>
      <w:r>
        <w:rPr>
          <w:rFonts w:ascii="仿宋_GB2312" w:eastAsia="仿宋_GB2312" w:cs="DengXian-Regular" w:hint="eastAsia"/>
          <w:sz w:val="32"/>
          <w:szCs w:val="32"/>
        </w:rPr>
        <w:t>3</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主要是房屋改造、维修、搬迁、办公设备购置、专案经费以及接待省市巡察组工作。</w:t>
      </w:r>
    </w:p>
    <w:p w:rsidR="006E273D" w:rsidRDefault="006E273D">
      <w:pPr>
        <w:adjustRightInd w:val="0"/>
        <w:snapToGrid w:val="0"/>
        <w:spacing w:after="0" w:line="580" w:lineRule="exact"/>
        <w:jc w:val="center"/>
        <w:rPr>
          <w:rFonts w:eastAsia="仿宋_GB2312"/>
          <w:sz w:val="32"/>
          <w:szCs w:val="32"/>
        </w:rPr>
      </w:pPr>
    </w:p>
    <w:p w:rsidR="006E273D" w:rsidRDefault="006E273D">
      <w:pPr>
        <w:adjustRightInd w:val="0"/>
        <w:snapToGrid w:val="0"/>
        <w:spacing w:after="0" w:line="580" w:lineRule="exact"/>
        <w:jc w:val="center"/>
        <w:rPr>
          <w:rFonts w:eastAsia="仿宋_GB2312"/>
          <w:sz w:val="32"/>
          <w:szCs w:val="32"/>
        </w:rPr>
      </w:pPr>
    </w:p>
    <w:p w:rsidR="006E273D" w:rsidRDefault="00724371">
      <w:pPr>
        <w:adjustRightInd w:val="0"/>
        <w:snapToGrid w:val="0"/>
        <w:spacing w:after="0" w:line="580" w:lineRule="exact"/>
        <w:jc w:val="center"/>
        <w:rPr>
          <w:rFonts w:ascii="仿宋_GB2312" w:eastAsia="仿宋_GB2312" w:cs="DengXian-Regular"/>
          <w:sz w:val="32"/>
          <w:szCs w:val="32"/>
        </w:rPr>
      </w:pPr>
      <w:r>
        <w:rPr>
          <w:rFonts w:eastAsia="仿宋_GB2312" w:hint="eastAsia"/>
          <w:sz w:val="32"/>
          <w:szCs w:val="32"/>
        </w:rPr>
        <w:lastRenderedPageBreak/>
        <w:t>图</w:t>
      </w:r>
      <w:r>
        <w:rPr>
          <w:rFonts w:eastAsia="仿宋_GB2312" w:hint="eastAsia"/>
          <w:sz w:val="32"/>
          <w:szCs w:val="32"/>
        </w:rPr>
        <w:t>3</w:t>
      </w:r>
      <w:r>
        <w:rPr>
          <w:rFonts w:eastAsia="仿宋_GB2312" w:hint="eastAsia"/>
          <w:sz w:val="32"/>
          <w:szCs w:val="32"/>
        </w:rPr>
        <w:t>：财政拨款收支情况</w:t>
      </w:r>
    </w:p>
    <w:p w:rsidR="006E273D" w:rsidRDefault="006E273D">
      <w:pPr>
        <w:spacing w:after="0" w:line="580" w:lineRule="exact"/>
        <w:ind w:firstLineChars="200" w:firstLine="643"/>
        <w:rPr>
          <w:rFonts w:ascii="楷体_GB2312" w:eastAsia="楷体_GB2312" w:cs="DengXian-Bold"/>
          <w:b/>
          <w:bCs/>
          <w:sz w:val="32"/>
          <w:szCs w:val="32"/>
        </w:rPr>
      </w:pPr>
    </w:p>
    <w:p w:rsidR="006E273D" w:rsidRDefault="006E273D">
      <w:pPr>
        <w:spacing w:after="0" w:line="580" w:lineRule="exact"/>
        <w:ind w:firstLineChars="200" w:firstLine="643"/>
        <w:rPr>
          <w:rFonts w:ascii="楷体_GB2312" w:eastAsia="楷体_GB2312" w:cs="DengXian-Bold"/>
          <w:b/>
          <w:bCs/>
          <w:sz w:val="32"/>
          <w:szCs w:val="32"/>
        </w:rPr>
      </w:pPr>
    </w:p>
    <w:p w:rsidR="006E273D" w:rsidRDefault="006E273D">
      <w:pPr>
        <w:spacing w:after="0" w:line="580" w:lineRule="exact"/>
        <w:ind w:firstLineChars="200" w:firstLine="643"/>
        <w:rPr>
          <w:rFonts w:ascii="楷体_GB2312" w:eastAsia="楷体_GB2312" w:cs="DengXian-Bold"/>
          <w:b/>
          <w:bCs/>
          <w:sz w:val="32"/>
          <w:szCs w:val="32"/>
        </w:rPr>
      </w:pPr>
    </w:p>
    <w:p w:rsidR="006E273D" w:rsidRDefault="006E273D">
      <w:pPr>
        <w:spacing w:after="0" w:line="580" w:lineRule="exact"/>
        <w:ind w:firstLineChars="200" w:firstLine="643"/>
        <w:rPr>
          <w:rFonts w:ascii="楷体_GB2312" w:eastAsia="楷体_GB2312" w:cs="DengXian-Bold"/>
          <w:b/>
          <w:bCs/>
          <w:sz w:val="32"/>
          <w:szCs w:val="32"/>
        </w:rPr>
      </w:pPr>
    </w:p>
    <w:p w:rsidR="006E273D" w:rsidRDefault="006E273D">
      <w:pPr>
        <w:spacing w:after="0" w:line="580" w:lineRule="exact"/>
        <w:ind w:firstLineChars="200" w:firstLine="643"/>
        <w:rPr>
          <w:rFonts w:ascii="楷体_GB2312" w:eastAsia="楷体_GB2312" w:cs="DengXian-Bold"/>
          <w:b/>
          <w:bCs/>
          <w:sz w:val="32"/>
          <w:szCs w:val="32"/>
        </w:rPr>
      </w:pPr>
    </w:p>
    <w:p w:rsidR="006E273D" w:rsidRDefault="006E273D">
      <w:pPr>
        <w:spacing w:after="0" w:line="580" w:lineRule="exact"/>
        <w:ind w:firstLineChars="200" w:firstLine="643"/>
        <w:rPr>
          <w:rFonts w:ascii="楷体_GB2312" w:eastAsia="楷体_GB2312" w:cs="DengXian-Bold"/>
          <w:b/>
          <w:bCs/>
          <w:sz w:val="32"/>
          <w:szCs w:val="32"/>
        </w:rPr>
      </w:pPr>
    </w:p>
    <w:p w:rsidR="006E273D" w:rsidRDefault="006E273D">
      <w:pPr>
        <w:spacing w:after="0" w:line="580" w:lineRule="exact"/>
        <w:ind w:firstLineChars="200" w:firstLine="643"/>
        <w:rPr>
          <w:rFonts w:ascii="楷体_GB2312" w:eastAsia="楷体_GB2312" w:cs="DengXian-Bold"/>
          <w:b/>
          <w:bCs/>
          <w:sz w:val="32"/>
          <w:szCs w:val="32"/>
        </w:rPr>
      </w:pPr>
    </w:p>
    <w:p w:rsidR="006E273D" w:rsidRDefault="00724371">
      <w:pPr>
        <w:spacing w:after="0" w:line="580" w:lineRule="exact"/>
        <w:ind w:firstLineChars="200" w:firstLine="420"/>
        <w:rPr>
          <w:rFonts w:ascii="楷体_GB2312" w:eastAsia="楷体_GB2312" w:cs="DengXian-Bold"/>
          <w:b/>
          <w:bCs/>
          <w:sz w:val="32"/>
          <w:szCs w:val="32"/>
        </w:rPr>
      </w:pPr>
      <w:r>
        <w:rPr>
          <w:noProof/>
        </w:rPr>
        <w:drawing>
          <wp:anchor distT="0" distB="0" distL="114300" distR="114300" simplePos="0" relativeHeight="251659264" behindDoc="1" locked="0" layoutInCell="1" allowOverlap="1">
            <wp:simplePos x="0" y="0"/>
            <wp:positionH relativeFrom="column">
              <wp:posOffset>271145</wp:posOffset>
            </wp:positionH>
            <wp:positionV relativeFrom="paragraph">
              <wp:posOffset>-2352675</wp:posOffset>
            </wp:positionV>
            <wp:extent cx="4549775" cy="2636520"/>
            <wp:effectExtent l="4445" t="4445" r="17780" b="10795"/>
            <wp:wrapTight wrapText="bothSides">
              <wp:wrapPolygon edited="0">
                <wp:start x="-21" y="-36"/>
                <wp:lineTo x="-21" y="21564"/>
                <wp:lineTo x="21540" y="21564"/>
                <wp:lineTo x="21540" y="-36"/>
                <wp:lineTo x="-21" y="-36"/>
              </wp:wrapPolygon>
            </wp:wrapTight>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E273D" w:rsidRDefault="00724371">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6E273D" w:rsidRDefault="00724371">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hint="eastAsia"/>
          <w:sz w:val="32"/>
          <w:szCs w:val="32"/>
        </w:rPr>
        <w:t>1446.91</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112</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hint="eastAsia"/>
          <w:sz w:val="32"/>
          <w:szCs w:val="32"/>
        </w:rPr>
        <w:t>159.75</w:t>
      </w:r>
      <w:r>
        <w:rPr>
          <w:rFonts w:ascii="仿宋_GB2312" w:eastAsia="仿宋_GB2312" w:cs="DengXian-Regular" w:hint="eastAsia"/>
          <w:sz w:val="32"/>
          <w:szCs w:val="32"/>
        </w:rPr>
        <w:t>万元，决算数大于预算数主要是</w:t>
      </w:r>
      <w:r>
        <w:rPr>
          <w:rFonts w:ascii="仿宋_GB2312" w:eastAsia="仿宋_GB2312" w:cs="DengXian-Regular" w:hint="eastAsia"/>
          <w:sz w:val="32"/>
          <w:szCs w:val="32"/>
        </w:rPr>
        <w:t>追加上级巡视、检查接待费、扫黑除恶经费、专案经费等</w:t>
      </w:r>
      <w:r>
        <w:rPr>
          <w:rFonts w:ascii="仿宋_GB2312" w:eastAsia="仿宋_GB2312" w:cs="DengXian-Regular" w:hint="eastAsia"/>
          <w:sz w:val="32"/>
          <w:szCs w:val="32"/>
        </w:rPr>
        <w:t>；本年支出</w:t>
      </w:r>
      <w:r>
        <w:rPr>
          <w:rFonts w:ascii="仿宋_GB2312" w:eastAsia="仿宋_GB2312" w:cs="DengXian-Regular" w:hint="eastAsia"/>
          <w:sz w:val="32"/>
          <w:szCs w:val="32"/>
        </w:rPr>
        <w:t>1464.22</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113</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hint="eastAsia"/>
          <w:sz w:val="32"/>
          <w:szCs w:val="32"/>
        </w:rPr>
        <w:t>177.06</w:t>
      </w:r>
      <w:r>
        <w:rPr>
          <w:rFonts w:ascii="仿宋_GB2312" w:eastAsia="仿宋_GB2312" w:cs="DengXian-Regular" w:hint="eastAsia"/>
          <w:sz w:val="32"/>
          <w:szCs w:val="32"/>
        </w:rPr>
        <w:t>万元，决算数大于预算数主要是</w:t>
      </w:r>
      <w:r>
        <w:rPr>
          <w:rFonts w:ascii="仿宋_GB2312" w:eastAsia="仿宋_GB2312" w:cs="DengXian-Regular" w:hint="eastAsia"/>
          <w:sz w:val="32"/>
          <w:szCs w:val="32"/>
        </w:rPr>
        <w:t>上级巡视、检查接待费、扫黑除恶经费、专案经费等支出的增加。</w:t>
      </w:r>
    </w:p>
    <w:p w:rsidR="006E273D" w:rsidRDefault="00724371">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hint="eastAsia"/>
          <w:sz w:val="32"/>
          <w:szCs w:val="32"/>
        </w:rPr>
        <w:t>4</w:t>
      </w:r>
      <w:r>
        <w:rPr>
          <w:rFonts w:eastAsia="仿宋_GB2312" w:hint="eastAsia"/>
          <w:sz w:val="32"/>
          <w:szCs w:val="32"/>
        </w:rPr>
        <w:t>：财政拨款收支预决算对比情况</w:t>
      </w:r>
    </w:p>
    <w:p w:rsidR="006E273D" w:rsidRDefault="006E273D">
      <w:pPr>
        <w:adjustRightInd w:val="0"/>
        <w:snapToGrid w:val="0"/>
        <w:spacing w:after="0" w:line="580" w:lineRule="exact"/>
        <w:jc w:val="center"/>
        <w:rPr>
          <w:rFonts w:eastAsia="仿宋_GB2312"/>
          <w:sz w:val="32"/>
          <w:szCs w:val="32"/>
        </w:rPr>
      </w:pPr>
    </w:p>
    <w:p w:rsidR="006E273D" w:rsidRDefault="006E273D">
      <w:pPr>
        <w:adjustRightInd w:val="0"/>
        <w:snapToGrid w:val="0"/>
        <w:spacing w:after="0" w:line="580" w:lineRule="exact"/>
        <w:jc w:val="center"/>
        <w:rPr>
          <w:rFonts w:eastAsia="仿宋_GB2312"/>
          <w:sz w:val="32"/>
          <w:szCs w:val="32"/>
        </w:rPr>
      </w:pPr>
    </w:p>
    <w:p w:rsidR="006E273D" w:rsidRDefault="006E273D">
      <w:pPr>
        <w:adjustRightInd w:val="0"/>
        <w:snapToGrid w:val="0"/>
        <w:spacing w:after="0" w:line="580" w:lineRule="exact"/>
        <w:jc w:val="center"/>
        <w:rPr>
          <w:rFonts w:eastAsia="仿宋_GB2312"/>
          <w:sz w:val="32"/>
          <w:szCs w:val="32"/>
        </w:rPr>
      </w:pPr>
    </w:p>
    <w:p w:rsidR="006E273D" w:rsidRDefault="006E273D">
      <w:pPr>
        <w:adjustRightInd w:val="0"/>
        <w:snapToGrid w:val="0"/>
        <w:spacing w:after="0" w:line="580" w:lineRule="exact"/>
        <w:jc w:val="center"/>
      </w:pPr>
    </w:p>
    <w:p w:rsidR="006E273D" w:rsidRDefault="006E273D">
      <w:pPr>
        <w:adjustRightInd w:val="0"/>
        <w:snapToGrid w:val="0"/>
        <w:spacing w:after="0" w:line="580" w:lineRule="exact"/>
        <w:jc w:val="center"/>
      </w:pPr>
    </w:p>
    <w:p w:rsidR="006E273D" w:rsidRDefault="006E273D">
      <w:pPr>
        <w:adjustRightInd w:val="0"/>
        <w:snapToGrid w:val="0"/>
        <w:spacing w:after="0" w:line="580" w:lineRule="exact"/>
        <w:jc w:val="center"/>
      </w:pPr>
    </w:p>
    <w:p w:rsidR="006E273D" w:rsidRDefault="006E273D">
      <w:pPr>
        <w:adjustRightInd w:val="0"/>
        <w:snapToGrid w:val="0"/>
        <w:spacing w:after="0" w:line="580" w:lineRule="exact"/>
        <w:jc w:val="center"/>
      </w:pPr>
    </w:p>
    <w:p w:rsidR="006E273D" w:rsidRDefault="006E273D">
      <w:pPr>
        <w:adjustRightInd w:val="0"/>
        <w:snapToGrid w:val="0"/>
        <w:spacing w:after="0" w:line="580" w:lineRule="exact"/>
        <w:jc w:val="center"/>
      </w:pPr>
    </w:p>
    <w:p w:rsidR="006E273D" w:rsidRDefault="006E273D">
      <w:pPr>
        <w:adjustRightInd w:val="0"/>
        <w:snapToGrid w:val="0"/>
        <w:spacing w:after="0" w:line="580" w:lineRule="exact"/>
        <w:jc w:val="center"/>
      </w:pPr>
    </w:p>
    <w:p w:rsidR="006E273D" w:rsidRDefault="006E273D">
      <w:pPr>
        <w:adjustRightInd w:val="0"/>
        <w:snapToGrid w:val="0"/>
        <w:spacing w:after="0" w:line="580" w:lineRule="exact"/>
        <w:jc w:val="center"/>
      </w:pPr>
    </w:p>
    <w:p w:rsidR="006E273D" w:rsidRDefault="006E273D">
      <w:pPr>
        <w:adjustRightInd w:val="0"/>
        <w:snapToGrid w:val="0"/>
        <w:spacing w:after="0" w:line="580" w:lineRule="exact"/>
        <w:jc w:val="center"/>
      </w:pPr>
    </w:p>
    <w:p w:rsidR="006E273D" w:rsidRDefault="00724371">
      <w:pPr>
        <w:adjustRightInd w:val="0"/>
        <w:snapToGrid w:val="0"/>
        <w:spacing w:after="0" w:line="580" w:lineRule="exact"/>
        <w:jc w:val="center"/>
        <w:rPr>
          <w:rFonts w:eastAsia="仿宋_GB2312"/>
          <w:sz w:val="32"/>
          <w:szCs w:val="32"/>
        </w:rPr>
      </w:pPr>
      <w:r>
        <w:rPr>
          <w:noProof/>
        </w:rPr>
        <w:drawing>
          <wp:anchor distT="0" distB="0" distL="114300" distR="114300" simplePos="0" relativeHeight="251660288" behindDoc="1" locked="0" layoutInCell="1" allowOverlap="1">
            <wp:simplePos x="0" y="0"/>
            <wp:positionH relativeFrom="column">
              <wp:posOffset>518795</wp:posOffset>
            </wp:positionH>
            <wp:positionV relativeFrom="paragraph">
              <wp:posOffset>-2459355</wp:posOffset>
            </wp:positionV>
            <wp:extent cx="4572000" cy="2743200"/>
            <wp:effectExtent l="4445" t="4445" r="10795" b="10795"/>
            <wp:wrapTight wrapText="bothSides">
              <wp:wrapPolygon edited="0">
                <wp:start x="-21" y="-35"/>
                <wp:lineTo x="-21" y="21565"/>
                <wp:lineTo x="21579" y="21565"/>
                <wp:lineTo x="21579" y="-35"/>
                <wp:lineTo x="-21" y="-35"/>
              </wp:wrapPolygon>
            </wp:wrapTight>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E273D" w:rsidRDefault="00724371">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6E273D" w:rsidRDefault="0072437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hint="eastAsia"/>
          <w:sz w:val="32"/>
          <w:szCs w:val="32"/>
        </w:rPr>
        <w:t>1464.22</w:t>
      </w:r>
      <w:r>
        <w:rPr>
          <w:rFonts w:ascii="仿宋_GB2312" w:eastAsia="仿宋_GB2312" w:cs="DengXian-Regular" w:hint="eastAsia"/>
          <w:sz w:val="32"/>
          <w:szCs w:val="32"/>
        </w:rPr>
        <w:t>万元，主要用于以下方面一般公共服务（类）支出</w:t>
      </w:r>
      <w:r>
        <w:rPr>
          <w:rFonts w:ascii="仿宋_GB2312" w:eastAsia="仿宋_GB2312" w:cs="DengXian-Regular" w:hint="eastAsia"/>
          <w:sz w:val="32"/>
          <w:szCs w:val="32"/>
        </w:rPr>
        <w:t>1293.13</w:t>
      </w:r>
      <w:r>
        <w:rPr>
          <w:rFonts w:ascii="仿宋_GB2312" w:eastAsia="仿宋_GB2312" w:cs="DengXian-Regular" w:hint="eastAsia"/>
          <w:sz w:val="32"/>
          <w:szCs w:val="32"/>
        </w:rPr>
        <w:t>万元，占</w:t>
      </w:r>
      <w:r>
        <w:rPr>
          <w:rFonts w:ascii="仿宋_GB2312" w:eastAsia="仿宋_GB2312" w:cs="DengXian-Regular" w:hint="eastAsia"/>
          <w:sz w:val="32"/>
          <w:szCs w:val="32"/>
        </w:rPr>
        <w:t>88</w:t>
      </w:r>
      <w:r>
        <w:rPr>
          <w:rFonts w:ascii="仿宋_GB2312" w:eastAsia="仿宋_GB2312" w:cs="DengXian-Regular" w:hint="eastAsia"/>
          <w:sz w:val="32"/>
          <w:szCs w:val="32"/>
        </w:rPr>
        <w:t>%</w:t>
      </w:r>
      <w:r>
        <w:rPr>
          <w:rFonts w:ascii="仿宋_GB2312" w:eastAsia="仿宋_GB2312" w:cs="DengXian-Regular" w:hint="eastAsia"/>
          <w:sz w:val="32"/>
          <w:szCs w:val="32"/>
        </w:rPr>
        <w:t>；社会保障和就业（类）支出</w:t>
      </w:r>
      <w:r>
        <w:rPr>
          <w:rFonts w:ascii="仿宋_GB2312" w:eastAsia="仿宋_GB2312" w:cs="DengXian-Regular" w:hint="eastAsia"/>
          <w:sz w:val="32"/>
          <w:szCs w:val="32"/>
        </w:rPr>
        <w:t xml:space="preserve"> </w:t>
      </w:r>
      <w:r>
        <w:rPr>
          <w:rFonts w:ascii="仿宋_GB2312" w:eastAsia="仿宋_GB2312" w:cs="DengXian-Regular" w:hint="eastAsia"/>
          <w:sz w:val="32"/>
          <w:szCs w:val="32"/>
        </w:rPr>
        <w:t>86.87</w:t>
      </w:r>
      <w:r>
        <w:rPr>
          <w:rFonts w:ascii="仿宋_GB2312" w:eastAsia="仿宋_GB2312" w:cs="DengXian-Regular" w:hint="eastAsia"/>
          <w:sz w:val="32"/>
          <w:szCs w:val="32"/>
        </w:rPr>
        <w:t>万元，占</w:t>
      </w:r>
      <w:r>
        <w:rPr>
          <w:rFonts w:ascii="仿宋_GB2312" w:eastAsia="仿宋_GB2312" w:cs="DengXian-Regular" w:hint="eastAsia"/>
          <w:sz w:val="32"/>
          <w:szCs w:val="32"/>
        </w:rPr>
        <w:t>6</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医疗卫生与计划生育支出</w:t>
      </w:r>
      <w:r>
        <w:rPr>
          <w:rFonts w:ascii="仿宋_GB2312" w:eastAsia="仿宋_GB2312" w:cs="DengXian-Regular" w:hint="eastAsia"/>
          <w:sz w:val="32"/>
          <w:szCs w:val="32"/>
        </w:rPr>
        <w:t>32.09</w:t>
      </w:r>
      <w:r>
        <w:rPr>
          <w:rFonts w:ascii="仿宋_GB2312" w:eastAsia="仿宋_GB2312" w:cs="DengXian-Regular" w:hint="eastAsia"/>
          <w:sz w:val="32"/>
          <w:szCs w:val="32"/>
        </w:rPr>
        <w:t>万元</w:t>
      </w:r>
      <w:r>
        <w:rPr>
          <w:rFonts w:ascii="仿宋_GB2312" w:eastAsia="仿宋_GB2312" w:cs="DengXian-Regular" w:hint="eastAsia"/>
          <w:sz w:val="32"/>
          <w:szCs w:val="32"/>
        </w:rPr>
        <w:t>占</w:t>
      </w:r>
      <w:r>
        <w:rPr>
          <w:rFonts w:ascii="仿宋_GB2312" w:eastAsia="仿宋_GB2312" w:cs="DengXian-Regular" w:hint="eastAsia"/>
          <w:sz w:val="32"/>
          <w:szCs w:val="32"/>
        </w:rPr>
        <w:t>2</w:t>
      </w:r>
      <w:r>
        <w:rPr>
          <w:rFonts w:ascii="仿宋_GB2312" w:eastAsia="仿宋_GB2312" w:cs="DengXian-Regular" w:hint="eastAsia"/>
          <w:sz w:val="32"/>
          <w:szCs w:val="32"/>
        </w:rPr>
        <w:t>%</w:t>
      </w:r>
      <w:r>
        <w:rPr>
          <w:rFonts w:ascii="仿宋_GB2312" w:eastAsia="仿宋_GB2312" w:cs="DengXian-Regular" w:hint="eastAsia"/>
          <w:sz w:val="32"/>
          <w:szCs w:val="32"/>
        </w:rPr>
        <w:t>；住房保障（类）支出</w:t>
      </w:r>
      <w:r>
        <w:rPr>
          <w:rFonts w:ascii="仿宋_GB2312" w:eastAsia="仿宋_GB2312" w:cs="DengXian-Regular" w:hint="eastAsia"/>
          <w:sz w:val="32"/>
          <w:szCs w:val="32"/>
        </w:rPr>
        <w:t>52.14</w:t>
      </w:r>
      <w:r>
        <w:rPr>
          <w:rFonts w:ascii="仿宋_GB2312" w:eastAsia="仿宋_GB2312" w:cs="DengXian-Regular" w:hint="eastAsia"/>
          <w:sz w:val="32"/>
          <w:szCs w:val="32"/>
        </w:rPr>
        <w:t>万元，占</w:t>
      </w:r>
      <w:r>
        <w:rPr>
          <w:rFonts w:ascii="仿宋_GB2312" w:eastAsia="仿宋_GB2312" w:cs="DengXian-Regular" w:hint="eastAsia"/>
          <w:sz w:val="32"/>
          <w:szCs w:val="32"/>
        </w:rPr>
        <w:t>4</w:t>
      </w:r>
      <w:r>
        <w:rPr>
          <w:rFonts w:ascii="仿宋_GB2312" w:eastAsia="仿宋_GB2312" w:cs="DengXian-Regular" w:hint="eastAsia"/>
          <w:sz w:val="32"/>
          <w:szCs w:val="32"/>
        </w:rPr>
        <w:t>%</w:t>
      </w:r>
      <w:r>
        <w:rPr>
          <w:rFonts w:ascii="仿宋_GB2312" w:eastAsia="仿宋_GB2312" w:cs="DengXian-Regular" w:hint="eastAsia"/>
          <w:sz w:val="32"/>
          <w:szCs w:val="32"/>
        </w:rPr>
        <w:t>。</w:t>
      </w:r>
    </w:p>
    <w:p w:rsidR="006E273D" w:rsidRDefault="00724371">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hint="eastAsia"/>
          <w:sz w:val="32"/>
          <w:szCs w:val="32"/>
        </w:rPr>
        <w:t>5</w:t>
      </w:r>
      <w:r>
        <w:rPr>
          <w:rFonts w:eastAsia="仿宋_GB2312" w:hint="eastAsia"/>
          <w:sz w:val="32"/>
          <w:szCs w:val="32"/>
        </w:rPr>
        <w:t>：财政拨款支出决算结构（按功能分类）</w:t>
      </w:r>
    </w:p>
    <w:p w:rsidR="006E273D" w:rsidRDefault="00724371">
      <w:pPr>
        <w:adjustRightInd w:val="0"/>
        <w:snapToGrid w:val="0"/>
        <w:spacing w:after="0" w:line="580" w:lineRule="exact"/>
        <w:jc w:val="center"/>
        <w:rPr>
          <w:rFonts w:eastAsia="仿宋_GB2312"/>
          <w:sz w:val="32"/>
          <w:szCs w:val="32"/>
        </w:rPr>
      </w:pPr>
      <w:r>
        <w:rPr>
          <w:noProof/>
        </w:rPr>
        <w:drawing>
          <wp:anchor distT="0" distB="0" distL="114300" distR="114300" simplePos="0" relativeHeight="251661312" behindDoc="1" locked="0" layoutInCell="1" allowOverlap="1">
            <wp:simplePos x="0" y="0"/>
            <wp:positionH relativeFrom="column">
              <wp:posOffset>495935</wp:posOffset>
            </wp:positionH>
            <wp:positionV relativeFrom="paragraph">
              <wp:posOffset>306705</wp:posOffset>
            </wp:positionV>
            <wp:extent cx="4038600" cy="1875155"/>
            <wp:effectExtent l="4445" t="4445" r="10795" b="10160"/>
            <wp:wrapTight wrapText="bothSides">
              <wp:wrapPolygon edited="0">
                <wp:start x="-24" y="-51"/>
                <wp:lineTo x="-24" y="21541"/>
                <wp:lineTo x="21576" y="21541"/>
                <wp:lineTo x="21576" y="-51"/>
                <wp:lineTo x="-24" y="-51"/>
              </wp:wrapPolygon>
            </wp:wrapTight>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E273D" w:rsidRDefault="006E273D">
      <w:pPr>
        <w:adjustRightInd w:val="0"/>
        <w:snapToGrid w:val="0"/>
        <w:spacing w:after="0" w:line="580" w:lineRule="exact"/>
        <w:jc w:val="center"/>
        <w:rPr>
          <w:rFonts w:eastAsia="仿宋_GB2312"/>
          <w:sz w:val="32"/>
          <w:szCs w:val="32"/>
        </w:rPr>
      </w:pPr>
    </w:p>
    <w:p w:rsidR="006E273D" w:rsidRDefault="006E273D">
      <w:pPr>
        <w:adjustRightInd w:val="0"/>
        <w:snapToGrid w:val="0"/>
        <w:spacing w:after="0" w:line="580" w:lineRule="exact"/>
        <w:jc w:val="center"/>
        <w:rPr>
          <w:rFonts w:eastAsia="仿宋_GB2312"/>
          <w:sz w:val="32"/>
          <w:szCs w:val="32"/>
        </w:rPr>
      </w:pPr>
    </w:p>
    <w:p w:rsidR="006E273D" w:rsidRDefault="006E273D">
      <w:pPr>
        <w:adjustRightInd w:val="0"/>
        <w:snapToGrid w:val="0"/>
        <w:spacing w:after="0" w:line="580" w:lineRule="exact"/>
        <w:jc w:val="center"/>
        <w:rPr>
          <w:rFonts w:eastAsia="仿宋_GB2312"/>
          <w:sz w:val="32"/>
          <w:szCs w:val="32"/>
        </w:rPr>
      </w:pPr>
    </w:p>
    <w:p w:rsidR="006E273D" w:rsidRDefault="006E273D">
      <w:pPr>
        <w:adjustRightInd w:val="0"/>
        <w:snapToGrid w:val="0"/>
        <w:spacing w:after="0" w:line="580" w:lineRule="exact"/>
        <w:jc w:val="center"/>
        <w:rPr>
          <w:rFonts w:eastAsia="仿宋_GB2312"/>
          <w:sz w:val="32"/>
          <w:szCs w:val="32"/>
        </w:rPr>
      </w:pPr>
    </w:p>
    <w:p w:rsidR="006E273D" w:rsidRDefault="006E273D">
      <w:pPr>
        <w:adjustRightInd w:val="0"/>
        <w:snapToGrid w:val="0"/>
        <w:spacing w:after="0" w:line="580" w:lineRule="exact"/>
        <w:jc w:val="center"/>
        <w:rPr>
          <w:rFonts w:eastAsia="仿宋_GB2312"/>
          <w:sz w:val="32"/>
          <w:szCs w:val="32"/>
        </w:rPr>
      </w:pPr>
    </w:p>
    <w:p w:rsidR="006E273D" w:rsidRDefault="006E273D">
      <w:pPr>
        <w:adjustRightInd w:val="0"/>
        <w:snapToGrid w:val="0"/>
        <w:spacing w:after="0" w:line="580" w:lineRule="exact"/>
        <w:jc w:val="center"/>
        <w:rPr>
          <w:rFonts w:eastAsia="仿宋_GB2312"/>
          <w:sz w:val="32"/>
          <w:szCs w:val="32"/>
        </w:rPr>
      </w:pPr>
    </w:p>
    <w:p w:rsidR="006E273D" w:rsidRDefault="00724371">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lastRenderedPageBreak/>
        <w:t>（四）一般公共预算财政拨款基本支出决算情况说明</w:t>
      </w:r>
    </w:p>
    <w:p w:rsidR="006E273D" w:rsidRDefault="0072437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hint="eastAsia"/>
          <w:sz w:val="32"/>
          <w:szCs w:val="32"/>
        </w:rPr>
        <w:t>1462.12</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934.34</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hint="eastAsia"/>
          <w:sz w:val="32"/>
          <w:szCs w:val="32"/>
        </w:rPr>
        <w:t>527.78</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w:t>
      </w:r>
      <w:r>
        <w:rPr>
          <w:rFonts w:ascii="仿宋_GB2312" w:eastAsia="仿宋_GB2312" w:cs="DengXian-Regular" w:hint="eastAsia"/>
          <w:sz w:val="32"/>
          <w:szCs w:val="32"/>
        </w:rPr>
        <w:t>、福利费、公务用车运行维护费、其他交通费用、税金及附加费用、其他商品和服务支出、办公设备购置、专用设备购置、信息网络及软件购置更新、公务用车购置、其他资本性支出等。</w:t>
      </w:r>
    </w:p>
    <w:p w:rsidR="006E273D" w:rsidRDefault="00724371">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hint="eastAsia"/>
          <w:b w:val="0"/>
          <w:bCs w:val="0"/>
        </w:rPr>
        <w:t xml:space="preserve"> </w:t>
      </w:r>
      <w:r>
        <w:rPr>
          <w:rFonts w:ascii="黑体" w:eastAsia="黑体" w:hint="eastAsia"/>
          <w:b w:val="0"/>
          <w:bCs w:val="0"/>
        </w:rPr>
        <w:t>经费支出决算情况说明</w:t>
      </w:r>
    </w:p>
    <w:p w:rsidR="006E273D" w:rsidRDefault="00724371">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92.59</w:t>
      </w:r>
      <w:r>
        <w:rPr>
          <w:rFonts w:eastAsia="仿宋_GB2312"/>
          <w:sz w:val="32"/>
          <w:szCs w:val="32"/>
        </w:rPr>
        <w:t>万元，</w:t>
      </w:r>
      <w:r>
        <w:rPr>
          <w:rFonts w:eastAsia="仿宋_GB2312" w:hint="eastAsia"/>
          <w:sz w:val="32"/>
          <w:szCs w:val="32"/>
        </w:rPr>
        <w:t>比</w:t>
      </w:r>
      <w:r>
        <w:rPr>
          <w:rFonts w:eastAsia="仿宋_GB2312"/>
          <w:sz w:val="32"/>
          <w:szCs w:val="32"/>
        </w:rPr>
        <w:t>年初预算增加</w:t>
      </w:r>
      <w:r>
        <w:rPr>
          <w:rFonts w:eastAsia="仿宋_GB2312" w:hint="eastAsia"/>
          <w:sz w:val="32"/>
          <w:szCs w:val="32"/>
        </w:rPr>
        <w:t>78</w:t>
      </w:r>
      <w:r>
        <w:rPr>
          <w:rFonts w:eastAsia="仿宋_GB2312"/>
          <w:sz w:val="32"/>
          <w:szCs w:val="32"/>
        </w:rPr>
        <w:t>万元，增长</w:t>
      </w:r>
      <w:r>
        <w:rPr>
          <w:rFonts w:eastAsia="仿宋_GB2312" w:hint="eastAsia"/>
          <w:sz w:val="32"/>
          <w:szCs w:val="32"/>
        </w:rPr>
        <w:t>534</w:t>
      </w:r>
      <w:r>
        <w:rPr>
          <w:rFonts w:eastAsia="仿宋_GB2312"/>
          <w:sz w:val="32"/>
          <w:szCs w:val="32"/>
        </w:rPr>
        <w:t>%</w:t>
      </w:r>
      <w:r>
        <w:rPr>
          <w:rFonts w:eastAsia="仿宋_GB2312"/>
          <w:sz w:val="32"/>
          <w:szCs w:val="32"/>
        </w:rPr>
        <w:t>，主要是</w:t>
      </w:r>
      <w:r>
        <w:rPr>
          <w:rFonts w:eastAsia="仿宋_GB2312" w:hint="eastAsia"/>
          <w:sz w:val="32"/>
          <w:szCs w:val="32"/>
        </w:rPr>
        <w:t>车辆增加以及接待上级巡视、检查、调研、督导等费用</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66.67</w:t>
      </w:r>
      <w:r>
        <w:rPr>
          <w:rFonts w:eastAsia="仿宋_GB2312"/>
          <w:sz w:val="32"/>
          <w:szCs w:val="32"/>
        </w:rPr>
        <w:t>万元，增长</w:t>
      </w:r>
      <w:r>
        <w:rPr>
          <w:rFonts w:eastAsia="仿宋_GB2312" w:hint="eastAsia"/>
          <w:sz w:val="32"/>
          <w:szCs w:val="32"/>
        </w:rPr>
        <w:t>257</w:t>
      </w:r>
      <w:r>
        <w:rPr>
          <w:rFonts w:eastAsia="仿宋_GB2312"/>
          <w:sz w:val="32"/>
          <w:szCs w:val="32"/>
        </w:rPr>
        <w:t>%</w:t>
      </w:r>
      <w:r>
        <w:rPr>
          <w:rFonts w:eastAsia="仿宋_GB2312"/>
          <w:sz w:val="32"/>
          <w:szCs w:val="32"/>
        </w:rPr>
        <w:t>，主要是</w:t>
      </w:r>
      <w:r>
        <w:rPr>
          <w:rFonts w:eastAsia="仿宋_GB2312" w:hint="eastAsia"/>
          <w:sz w:val="32"/>
          <w:szCs w:val="32"/>
        </w:rPr>
        <w:t>接待上级巡视工</w:t>
      </w:r>
      <w:r>
        <w:rPr>
          <w:rFonts w:eastAsia="仿宋_GB2312" w:hint="eastAsia"/>
          <w:sz w:val="32"/>
          <w:szCs w:val="32"/>
        </w:rPr>
        <w:lastRenderedPageBreak/>
        <w:t>作</w:t>
      </w:r>
      <w:r>
        <w:rPr>
          <w:rFonts w:eastAsia="仿宋_GB2312"/>
          <w:sz w:val="32"/>
          <w:szCs w:val="32"/>
        </w:rPr>
        <w:t>。具体情况如下：</w:t>
      </w:r>
    </w:p>
    <w:p w:rsidR="006E273D" w:rsidRDefault="00724371">
      <w:pPr>
        <w:widowControl/>
        <w:numPr>
          <w:ilvl w:val="0"/>
          <w:numId w:val="2"/>
        </w:numPr>
        <w:spacing w:line="540" w:lineRule="exact"/>
        <w:ind w:firstLineChars="200" w:firstLine="643"/>
        <w:jc w:val="left"/>
        <w:rPr>
          <w:rFonts w:ascii="仿宋_GB2312" w:eastAsia="仿宋_GB2312" w:cs="DengXian-Regular"/>
          <w:sz w:val="32"/>
          <w:szCs w:val="32"/>
        </w:rPr>
      </w:pPr>
      <w:r>
        <w:rPr>
          <w:rFonts w:eastAsia="楷体_GB2312"/>
          <w:b/>
          <w:bCs/>
          <w:sz w:val="32"/>
          <w:szCs w:val="32"/>
        </w:rPr>
        <w:t>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无本单位组织的出国（境）团组。</w:t>
      </w:r>
      <w:r>
        <w:rPr>
          <w:rFonts w:ascii="仿宋_GB2312" w:eastAsia="仿宋_GB2312" w:cs="DengXian-Regular" w:hint="eastAsia"/>
          <w:sz w:val="32"/>
          <w:szCs w:val="32"/>
        </w:rPr>
        <w:t>因公出国（境）费支出较年初预算无增减变化；较</w:t>
      </w:r>
      <w:r>
        <w:rPr>
          <w:rFonts w:ascii="仿宋_GB2312" w:eastAsia="仿宋_GB2312" w:cs="DengXian-Regular" w:hint="eastAsia"/>
          <w:sz w:val="32"/>
          <w:szCs w:val="32"/>
        </w:rPr>
        <w:t>2017</w:t>
      </w:r>
      <w:r>
        <w:rPr>
          <w:rFonts w:ascii="仿宋_GB2312" w:eastAsia="仿宋_GB2312" w:cs="DengXian-Regular" w:hint="eastAsia"/>
          <w:sz w:val="32"/>
          <w:szCs w:val="32"/>
        </w:rPr>
        <w:t>年度决算无增减变化。</w:t>
      </w:r>
    </w:p>
    <w:p w:rsidR="006E273D" w:rsidRDefault="00724371">
      <w:pPr>
        <w:adjustRightInd w:val="0"/>
        <w:snapToGrid w:val="0"/>
        <w:spacing w:line="584" w:lineRule="exact"/>
        <w:ind w:firstLineChars="200" w:firstLine="643"/>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24.06</w:t>
      </w:r>
      <w:r>
        <w:rPr>
          <w:rFonts w:eastAsia="楷体_GB2312"/>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年度公务用车购置及运行维护费比年初预算</w:t>
      </w:r>
      <w:r>
        <w:rPr>
          <w:rFonts w:eastAsia="仿宋_GB2312"/>
          <w:sz w:val="32"/>
          <w:szCs w:val="32"/>
        </w:rPr>
        <w:t>增加</w:t>
      </w:r>
      <w:r>
        <w:rPr>
          <w:rFonts w:eastAsia="仿宋_GB2312" w:hint="eastAsia"/>
          <w:sz w:val="32"/>
          <w:szCs w:val="32"/>
        </w:rPr>
        <w:t>10.06</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增长</w:t>
      </w:r>
      <w:r>
        <w:rPr>
          <w:rFonts w:eastAsia="仿宋_GB2312" w:hint="eastAsia"/>
          <w:sz w:val="32"/>
          <w:szCs w:val="32"/>
        </w:rPr>
        <w:t>72</w:t>
      </w:r>
      <w:r>
        <w:rPr>
          <w:rFonts w:eastAsia="仿宋_GB2312"/>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车辆增多，外出办案数量增多</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9.25</w:t>
      </w:r>
      <w:r>
        <w:rPr>
          <w:rFonts w:eastAsia="仿宋_GB2312"/>
          <w:sz w:val="32"/>
          <w:szCs w:val="32"/>
        </w:rPr>
        <w:t>万元，增长</w:t>
      </w:r>
      <w:r>
        <w:rPr>
          <w:rFonts w:eastAsia="仿宋_GB2312" w:hint="eastAsia"/>
          <w:sz w:val="32"/>
          <w:szCs w:val="32"/>
        </w:rPr>
        <w:t>62</w:t>
      </w:r>
      <w:r>
        <w:rPr>
          <w:rFonts w:eastAsia="仿宋_GB2312"/>
          <w:sz w:val="32"/>
          <w:szCs w:val="32"/>
        </w:rPr>
        <w:t>%</w:t>
      </w:r>
      <w:r>
        <w:rPr>
          <w:rFonts w:eastAsia="仿宋_GB2312"/>
          <w:sz w:val="32"/>
          <w:szCs w:val="32"/>
        </w:rPr>
        <w:t>，主要是</w:t>
      </w:r>
      <w:r>
        <w:rPr>
          <w:rFonts w:ascii="仿宋_GB2312" w:eastAsia="仿宋_GB2312" w:cs="DengXian-Regular" w:hint="eastAsia"/>
          <w:sz w:val="32"/>
          <w:szCs w:val="32"/>
        </w:rPr>
        <w:t>车辆增多，外出办案数量增多</w:t>
      </w:r>
      <w:r>
        <w:rPr>
          <w:rFonts w:eastAsia="仿宋_GB2312"/>
          <w:sz w:val="32"/>
          <w:szCs w:val="32"/>
        </w:rPr>
        <w:t>。</w:t>
      </w:r>
      <w:r>
        <w:rPr>
          <w:rFonts w:eastAsia="仿宋_GB2312"/>
          <w:b/>
          <w:bCs/>
          <w:sz w:val="32"/>
          <w:szCs w:val="32"/>
        </w:rPr>
        <w:t>其中：</w:t>
      </w:r>
    </w:p>
    <w:p w:rsidR="006E273D" w:rsidRDefault="00724371">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年度公务用车购置数量</w:t>
      </w:r>
      <w:r>
        <w:rPr>
          <w:rFonts w:eastAsia="仿宋_GB2312" w:hint="eastAsia"/>
          <w:sz w:val="32"/>
          <w:szCs w:val="32"/>
        </w:rPr>
        <w:t>0</w:t>
      </w:r>
      <w:r>
        <w:rPr>
          <w:rFonts w:eastAsia="仿宋_GB2312"/>
          <w:sz w:val="32"/>
          <w:szCs w:val="32"/>
        </w:rPr>
        <w:t>辆。公务用车购置费支出</w:t>
      </w:r>
      <w:r>
        <w:rPr>
          <w:rFonts w:eastAsia="仿宋_GB2312" w:hint="eastAsia"/>
          <w:sz w:val="32"/>
          <w:szCs w:val="32"/>
        </w:rPr>
        <w:t>与</w:t>
      </w:r>
      <w:r>
        <w:rPr>
          <w:rFonts w:eastAsia="仿宋_GB2312"/>
          <w:sz w:val="32"/>
          <w:szCs w:val="32"/>
        </w:rPr>
        <w:t>年初预算</w:t>
      </w:r>
      <w:r>
        <w:rPr>
          <w:rFonts w:eastAsia="仿宋_GB2312" w:hint="eastAsia"/>
          <w:sz w:val="32"/>
          <w:szCs w:val="32"/>
        </w:rPr>
        <w:t>无增进变化</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无增减变化</w:t>
      </w:r>
      <w:r>
        <w:rPr>
          <w:rFonts w:eastAsia="仿宋_GB2312"/>
          <w:sz w:val="32"/>
          <w:szCs w:val="32"/>
        </w:rPr>
        <w:t>。</w:t>
      </w:r>
    </w:p>
    <w:p w:rsidR="006E273D" w:rsidRDefault="00724371">
      <w:pPr>
        <w:adjustRightInd w:val="0"/>
        <w:snapToGrid w:val="0"/>
        <w:spacing w:line="584" w:lineRule="exact"/>
        <w:ind w:firstLineChars="200" w:firstLine="643"/>
        <w:rPr>
          <w:rFonts w:ascii="仿宋_GB2312" w:eastAsia="仿宋_GB2312" w:cs="DengXian-Regular"/>
          <w:sz w:val="32"/>
          <w:szCs w:val="32"/>
        </w:rPr>
      </w:pPr>
      <w:r>
        <w:rPr>
          <w:rFonts w:eastAsia="仿宋_GB2312"/>
          <w:b/>
          <w:sz w:val="32"/>
          <w:szCs w:val="32"/>
        </w:rPr>
        <w:t>公务用车运行维护费支出</w:t>
      </w:r>
      <w:r>
        <w:rPr>
          <w:rFonts w:eastAsia="仿宋_GB2312" w:hint="eastAsia"/>
          <w:b/>
          <w:sz w:val="32"/>
          <w:szCs w:val="32"/>
        </w:rPr>
        <w:t>24.06</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7</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10.06</w:t>
      </w:r>
      <w:r>
        <w:rPr>
          <w:rFonts w:eastAsia="仿宋_GB2312"/>
          <w:sz w:val="32"/>
          <w:szCs w:val="32"/>
        </w:rPr>
        <w:t>万元，增长</w:t>
      </w:r>
      <w:r>
        <w:rPr>
          <w:rFonts w:eastAsia="仿宋_GB2312" w:hint="eastAsia"/>
          <w:sz w:val="32"/>
          <w:szCs w:val="32"/>
        </w:rPr>
        <w:t>72</w:t>
      </w:r>
      <w:r>
        <w:rPr>
          <w:rFonts w:eastAsia="仿宋_GB2312"/>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车辆增多，外出办案数量增多</w:t>
      </w:r>
      <w:r>
        <w:rPr>
          <w:rFonts w:eastAsia="仿宋_GB2312"/>
          <w:sz w:val="32"/>
          <w:szCs w:val="32"/>
        </w:rPr>
        <w:t>增长；</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9.25</w:t>
      </w:r>
      <w:r>
        <w:rPr>
          <w:rFonts w:eastAsia="仿宋_GB2312"/>
          <w:sz w:val="32"/>
          <w:szCs w:val="32"/>
        </w:rPr>
        <w:t>万元，增长</w:t>
      </w:r>
      <w:r>
        <w:rPr>
          <w:rFonts w:eastAsia="仿宋_GB2312" w:hint="eastAsia"/>
          <w:sz w:val="32"/>
          <w:szCs w:val="32"/>
        </w:rPr>
        <w:t>62</w:t>
      </w:r>
      <w:r>
        <w:rPr>
          <w:rFonts w:eastAsia="仿宋_GB2312"/>
          <w:sz w:val="32"/>
          <w:szCs w:val="32"/>
        </w:rPr>
        <w:t>%</w:t>
      </w:r>
      <w:r>
        <w:rPr>
          <w:rFonts w:eastAsia="仿宋_GB2312"/>
          <w:sz w:val="32"/>
          <w:szCs w:val="32"/>
        </w:rPr>
        <w:t>，主要是</w:t>
      </w:r>
      <w:r>
        <w:rPr>
          <w:rFonts w:ascii="仿宋_GB2312" w:eastAsia="仿宋_GB2312" w:cs="DengXian-Regular" w:hint="eastAsia"/>
          <w:sz w:val="32"/>
          <w:szCs w:val="32"/>
        </w:rPr>
        <w:t>车辆增多，外出办案数量增多。</w:t>
      </w:r>
    </w:p>
    <w:p w:rsidR="006E273D" w:rsidRDefault="00724371">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（三）公务接待费支出</w:t>
      </w:r>
      <w:r>
        <w:rPr>
          <w:rFonts w:eastAsia="楷体_GB2312" w:hint="eastAsia"/>
          <w:b/>
          <w:bCs/>
          <w:sz w:val="32"/>
          <w:szCs w:val="32"/>
        </w:rPr>
        <w:t>68.53</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w:t>
      </w:r>
      <w:r>
        <w:rPr>
          <w:rFonts w:eastAsia="仿宋_GB2312"/>
          <w:sz w:val="32"/>
          <w:szCs w:val="32"/>
        </w:rPr>
        <w:lastRenderedPageBreak/>
        <w:t>接待共</w:t>
      </w:r>
      <w:r>
        <w:rPr>
          <w:rFonts w:eastAsia="仿宋_GB2312" w:hint="eastAsia"/>
          <w:sz w:val="32"/>
          <w:szCs w:val="32"/>
        </w:rPr>
        <w:t>67</w:t>
      </w:r>
      <w:r>
        <w:rPr>
          <w:rFonts w:eastAsia="仿宋_GB2312"/>
          <w:sz w:val="32"/>
          <w:szCs w:val="32"/>
        </w:rPr>
        <w:t>批次、</w:t>
      </w:r>
      <w:r>
        <w:rPr>
          <w:rFonts w:eastAsia="仿宋_GB2312" w:hint="eastAsia"/>
          <w:sz w:val="32"/>
          <w:szCs w:val="32"/>
        </w:rPr>
        <w:t>586</w:t>
      </w:r>
      <w:r>
        <w:rPr>
          <w:rFonts w:eastAsia="仿宋_GB2312"/>
          <w:sz w:val="32"/>
          <w:szCs w:val="32"/>
        </w:rPr>
        <w:t>人次。公务接待费支出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67.94</w:t>
      </w:r>
      <w:r>
        <w:rPr>
          <w:rFonts w:eastAsia="仿宋_GB2312"/>
          <w:sz w:val="32"/>
          <w:szCs w:val="32"/>
        </w:rPr>
        <w:t>万元，增长</w:t>
      </w:r>
      <w:r>
        <w:rPr>
          <w:rFonts w:eastAsia="仿宋_GB2312" w:hint="eastAsia"/>
          <w:sz w:val="32"/>
          <w:szCs w:val="32"/>
        </w:rPr>
        <w:t>11515</w:t>
      </w:r>
      <w:r>
        <w:rPr>
          <w:rFonts w:eastAsia="仿宋_GB2312"/>
          <w:sz w:val="32"/>
          <w:szCs w:val="32"/>
        </w:rPr>
        <w:t>%</w:t>
      </w:r>
      <w:r>
        <w:rPr>
          <w:rFonts w:eastAsia="仿宋_GB2312"/>
          <w:sz w:val="32"/>
          <w:szCs w:val="32"/>
        </w:rPr>
        <w:t>，主要是</w:t>
      </w:r>
      <w:r>
        <w:rPr>
          <w:rFonts w:eastAsia="仿宋_GB2312" w:hint="eastAsia"/>
          <w:sz w:val="32"/>
          <w:szCs w:val="32"/>
        </w:rPr>
        <w:t>按照省市纪委相关文件要求，开展全县巡察工作，采用交叉互查方式</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57.42</w:t>
      </w:r>
      <w:r>
        <w:rPr>
          <w:rFonts w:eastAsia="仿宋_GB2312"/>
          <w:sz w:val="32"/>
          <w:szCs w:val="32"/>
        </w:rPr>
        <w:t>万元，增长</w:t>
      </w:r>
      <w:r>
        <w:rPr>
          <w:rFonts w:eastAsia="仿宋_GB2312" w:hint="eastAsia"/>
          <w:sz w:val="32"/>
          <w:szCs w:val="32"/>
        </w:rPr>
        <w:t>516</w:t>
      </w:r>
      <w:r>
        <w:rPr>
          <w:rFonts w:eastAsia="仿宋_GB2312"/>
          <w:sz w:val="32"/>
          <w:szCs w:val="32"/>
        </w:rPr>
        <w:t>%</w:t>
      </w:r>
      <w:r>
        <w:rPr>
          <w:rFonts w:eastAsia="仿宋_GB2312"/>
          <w:sz w:val="32"/>
          <w:szCs w:val="32"/>
        </w:rPr>
        <w:t>，主要是</w:t>
      </w:r>
      <w:r>
        <w:rPr>
          <w:rFonts w:eastAsia="仿宋_GB2312" w:hint="eastAsia"/>
          <w:sz w:val="32"/>
          <w:szCs w:val="32"/>
        </w:rPr>
        <w:t>接待上级巡视工作</w:t>
      </w:r>
      <w:r>
        <w:rPr>
          <w:rFonts w:eastAsia="仿宋_GB2312"/>
          <w:sz w:val="32"/>
          <w:szCs w:val="32"/>
        </w:rPr>
        <w:t>。</w:t>
      </w:r>
    </w:p>
    <w:p w:rsidR="006E273D" w:rsidRDefault="00724371">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6E273D" w:rsidRDefault="00724371">
      <w:pPr>
        <w:autoSpaceDE w:val="0"/>
        <w:autoSpaceDN w:val="0"/>
        <w:snapToGrid w:val="0"/>
        <w:spacing w:line="540" w:lineRule="exact"/>
        <w:ind w:firstLineChars="200" w:firstLine="640"/>
        <w:rPr>
          <w:rFonts w:ascii="仿宋" w:eastAsia="仿宋" w:hAnsi="仿宋" w:cs="仿宋_GB2312"/>
          <w:kern w:val="0"/>
          <w:sz w:val="32"/>
          <w:szCs w:val="32"/>
          <w:shd w:val="clear" w:color="auto" w:fill="FFFFFF"/>
        </w:rPr>
      </w:pPr>
      <w:r>
        <w:rPr>
          <w:rFonts w:ascii="仿宋_GB2312" w:eastAsia="仿宋_GB2312" w:cs="DengXian-Regular" w:hint="eastAsia"/>
          <w:sz w:val="32"/>
          <w:szCs w:val="32"/>
        </w:rPr>
        <w:t>（一）预算绩效管理工作开展情况</w:t>
      </w:r>
    </w:p>
    <w:p w:rsidR="006E273D" w:rsidRDefault="00724371">
      <w:pPr>
        <w:widowControl/>
        <w:shd w:val="clear" w:color="auto" w:fill="FFFFFF"/>
        <w:spacing w:line="450" w:lineRule="atLeast"/>
        <w:ind w:firstLine="480"/>
        <w:jc w:val="left"/>
        <w:rPr>
          <w:rFonts w:ascii="仿宋" w:eastAsia="仿宋" w:hAnsi="仿宋" w:cs="仿宋_GB2312"/>
          <w:kern w:val="0"/>
          <w:sz w:val="32"/>
          <w:szCs w:val="32"/>
          <w:shd w:val="clear" w:color="auto" w:fill="FFFFFF"/>
        </w:rPr>
      </w:pPr>
      <w:r>
        <w:rPr>
          <w:rFonts w:ascii="仿宋" w:eastAsia="仿宋" w:hAnsi="仿宋" w:cs="仿宋_GB2312" w:hint="eastAsia"/>
          <w:kern w:val="0"/>
          <w:sz w:val="32"/>
          <w:szCs w:val="32"/>
          <w:shd w:val="clear" w:color="auto" w:fill="FFFFFF"/>
        </w:rPr>
        <w:t>一是绩效评价管理机制不断完善。加强了绩效评价在预算分配、预算执行、结果应用的全过程管理机制不断完善。二是绩效管理理念逐步建立。我委对资金投入、资金使用方向、项目实施产生的效益进行跟踪管理，在一定程度上促进预算编制的科学合理性。</w:t>
      </w:r>
    </w:p>
    <w:p w:rsidR="006E273D" w:rsidRDefault="0072437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r>
        <w:rPr>
          <w:rFonts w:ascii="仿宋" w:eastAsia="仿宋" w:hAnsi="仿宋" w:hint="eastAsia"/>
          <w:color w:val="333333"/>
          <w:sz w:val="32"/>
          <w:szCs w:val="32"/>
        </w:rPr>
        <w:t>我委围绕项目资金投入、管理、产出、效果四个方面精心设计绩效评价方案，从数量、质量、经济效益、社会效益、服务对象满意度等方面建立评价指标体系，对预算执行的主要产出和效果开展量化评估，对取得的成效、存在的问题进行分析，并提出有关改进措施和建议</w:t>
      </w:r>
      <w:r>
        <w:rPr>
          <w:rFonts w:ascii="仿宋" w:eastAsia="仿宋" w:hAnsi="仿宋" w:hint="eastAsia"/>
          <w:color w:val="333333"/>
          <w:sz w:val="32"/>
          <w:szCs w:val="32"/>
        </w:rPr>
        <w:t>，</w:t>
      </w:r>
      <w:r>
        <w:rPr>
          <w:rFonts w:ascii="仿宋" w:eastAsia="仿宋" w:hAnsi="仿宋" w:hint="eastAsia"/>
          <w:color w:val="333333"/>
          <w:sz w:val="32"/>
          <w:szCs w:val="32"/>
        </w:rPr>
        <w:t>所有项目自评良好。</w:t>
      </w:r>
    </w:p>
    <w:p w:rsidR="006E273D" w:rsidRDefault="00724371">
      <w:pPr>
        <w:spacing w:line="600" w:lineRule="exact"/>
        <w:ind w:firstLineChars="200" w:firstLine="640"/>
        <w:rPr>
          <w:rFonts w:ascii="Calibri" w:eastAsia="仿宋_GB2312" w:hAnsi="Calibri"/>
          <w:kern w:val="0"/>
          <w:sz w:val="32"/>
          <w:szCs w:val="32"/>
        </w:rPr>
      </w:pPr>
      <w:r>
        <w:rPr>
          <w:rFonts w:ascii="仿宋_GB2312" w:eastAsia="仿宋_GB2312" w:cs="DengXian-Regular" w:hint="eastAsia"/>
          <w:sz w:val="32"/>
          <w:szCs w:val="32"/>
        </w:rPr>
        <w:t>（三）重点项目绩效评价结果。</w:t>
      </w:r>
      <w:r>
        <w:rPr>
          <w:rFonts w:ascii="仿宋_GB2312" w:eastAsia="仿宋_GB2312" w:cs="DengXian-Regular" w:hint="eastAsia"/>
          <w:sz w:val="32"/>
          <w:szCs w:val="32"/>
        </w:rPr>
        <w:t>我委对办案经费支出从预算到开支，</w:t>
      </w:r>
      <w:r>
        <w:rPr>
          <w:rFonts w:eastAsia="仿宋_GB2312" w:hint="eastAsia"/>
          <w:sz w:val="32"/>
          <w:szCs w:val="32"/>
        </w:rPr>
        <w:t>严格按照</w:t>
      </w:r>
      <w:r>
        <w:rPr>
          <w:rFonts w:eastAsia="仿宋_GB2312" w:hint="eastAsia"/>
          <w:sz w:val="32"/>
          <w:szCs w:val="32"/>
        </w:rPr>
        <w:t>履行监督执纪问责和监督调查处置职责</w:t>
      </w:r>
      <w:r>
        <w:rPr>
          <w:rFonts w:eastAsia="仿宋_GB2312" w:hint="eastAsia"/>
          <w:sz w:val="32"/>
          <w:szCs w:val="32"/>
        </w:rPr>
        <w:t>、</w:t>
      </w:r>
      <w:r>
        <w:rPr>
          <w:rFonts w:ascii="Calibri" w:eastAsia="仿宋_GB2312" w:hAnsi="Calibri"/>
          <w:kern w:val="0"/>
          <w:sz w:val="32"/>
          <w:szCs w:val="32"/>
        </w:rPr>
        <w:t>全面履行党章赋予的职责，</w:t>
      </w:r>
      <w:r>
        <w:rPr>
          <w:rFonts w:eastAsia="仿宋_GB2312"/>
          <w:sz w:val="32"/>
          <w:szCs w:val="32"/>
        </w:rPr>
        <w:t>积极主动当参谋、提建议，</w:t>
      </w:r>
      <w:r>
        <w:rPr>
          <w:rFonts w:eastAsia="仿宋_GB2312" w:hint="eastAsia"/>
          <w:sz w:val="32"/>
          <w:szCs w:val="32"/>
        </w:rPr>
        <w:t>协助同级党委、</w:t>
      </w:r>
      <w:r>
        <w:rPr>
          <w:rFonts w:eastAsia="仿宋_GB2312" w:hint="eastAsia"/>
          <w:sz w:val="32"/>
          <w:szCs w:val="32"/>
        </w:rPr>
        <w:lastRenderedPageBreak/>
        <w:t>监督下级党委落实全面从严治党主体责任，坚定不移推</w:t>
      </w:r>
      <w:r>
        <w:rPr>
          <w:rFonts w:ascii="Calibri" w:eastAsia="仿宋_GB2312" w:hAnsi="Calibri"/>
          <w:kern w:val="0"/>
          <w:sz w:val="32"/>
          <w:szCs w:val="32"/>
        </w:rPr>
        <w:t>动全</w:t>
      </w:r>
      <w:r>
        <w:rPr>
          <w:rFonts w:eastAsia="仿宋_GB2312" w:hint="eastAsia"/>
          <w:kern w:val="0"/>
          <w:sz w:val="32"/>
          <w:szCs w:val="32"/>
        </w:rPr>
        <w:t>县</w:t>
      </w:r>
      <w:r>
        <w:rPr>
          <w:rFonts w:ascii="Calibri" w:eastAsia="仿宋_GB2312" w:hAnsi="Calibri"/>
          <w:kern w:val="0"/>
          <w:sz w:val="32"/>
          <w:szCs w:val="32"/>
        </w:rPr>
        <w:t>党风廉政建设和反腐败工作迈出新步伐</w:t>
      </w:r>
      <w:r>
        <w:rPr>
          <w:rFonts w:ascii="Calibri" w:eastAsia="仿宋_GB2312" w:hAnsi="Calibri" w:hint="eastAsia"/>
          <w:kern w:val="0"/>
          <w:sz w:val="32"/>
          <w:szCs w:val="32"/>
        </w:rPr>
        <w:t>。</w:t>
      </w:r>
      <w:r>
        <w:rPr>
          <w:rFonts w:ascii="Calibri" w:eastAsia="仿宋_GB2312" w:hAnsi="Calibri" w:hint="eastAsia"/>
          <w:kern w:val="0"/>
          <w:sz w:val="32"/>
          <w:szCs w:val="32"/>
        </w:rPr>
        <w:t>该专项经费通过绩效评价，结果为良好。</w:t>
      </w:r>
    </w:p>
    <w:p w:rsidR="006E273D" w:rsidRPr="008658E1" w:rsidRDefault="00724371" w:rsidP="008658E1">
      <w:pPr>
        <w:spacing w:line="600" w:lineRule="exact"/>
        <w:ind w:firstLineChars="200" w:firstLine="640"/>
        <w:rPr>
          <w:rFonts w:eastAsia="仿宋_GB2312"/>
          <w:sz w:val="32"/>
          <w:szCs w:val="32"/>
        </w:rPr>
      </w:pPr>
      <w:r>
        <w:rPr>
          <w:rFonts w:ascii="Calibri" w:eastAsia="仿宋_GB2312" w:hAnsi="Calibri" w:hint="eastAsia"/>
          <w:kern w:val="0"/>
          <w:sz w:val="32"/>
          <w:szCs w:val="32"/>
        </w:rPr>
        <w:t>一</w:t>
      </w:r>
      <w:r>
        <w:rPr>
          <w:rFonts w:ascii="仿宋_GB2312" w:eastAsia="仿宋_GB2312" w:hint="eastAsia"/>
          <w:b/>
          <w:sz w:val="32"/>
          <w:szCs w:val="32"/>
        </w:rPr>
        <w:t>是主动靠前推动。</w:t>
      </w:r>
      <w:r>
        <w:rPr>
          <w:rFonts w:eastAsia="仿宋_GB2312" w:hint="eastAsia"/>
          <w:sz w:val="32"/>
          <w:szCs w:val="32"/>
        </w:rPr>
        <w:t>对中央、中央纪委和省委、省纪委以及市委、市纪委关于全面从严治党工作的新部署新精神新要求，在第一时间向县委进行汇报，针对重大问题、重要案件，及时提请县委常委会专题研究、部署落实；</w:t>
      </w:r>
      <w:r>
        <w:rPr>
          <w:rFonts w:ascii="仿宋_GB2312" w:eastAsia="仿宋_GB2312" w:hint="eastAsia"/>
          <w:bCs/>
          <w:sz w:val="32"/>
          <w:szCs w:val="32"/>
        </w:rPr>
        <w:t>自</w:t>
      </w:r>
      <w:r>
        <w:rPr>
          <w:rFonts w:ascii="仿宋_GB2312" w:eastAsia="仿宋_GB2312" w:hint="eastAsia"/>
          <w:sz w:val="32"/>
          <w:szCs w:val="32"/>
        </w:rPr>
        <w:t>觉承担起“两个维护”的重大政治责任，主动协助县委研判党风廉政建设形势，加强对党章执行、学习贯彻党的十九大精神、党内政治生活状况、民主集中制执行情况的监督检</w:t>
      </w:r>
      <w:r>
        <w:rPr>
          <w:rFonts w:eastAsia="仿宋_GB2312" w:hint="eastAsia"/>
          <w:sz w:val="32"/>
          <w:szCs w:val="32"/>
        </w:rPr>
        <w:t>查，持续增强主体责任意识。</w:t>
      </w:r>
      <w:r>
        <w:rPr>
          <w:rFonts w:ascii="仿宋_GB2312" w:eastAsia="仿宋_GB2312" w:hint="eastAsia"/>
          <w:b/>
          <w:sz w:val="32"/>
          <w:szCs w:val="32"/>
        </w:rPr>
        <w:t>二是层层传导压力。</w:t>
      </w:r>
      <w:r>
        <w:rPr>
          <w:rFonts w:eastAsia="仿宋_GB2312" w:hAnsi="Calibri"/>
          <w:sz w:val="32"/>
          <w:szCs w:val="32"/>
        </w:rPr>
        <w:t>坚持把签字背书、警示教育和案件通报等制度落实到位，</w:t>
      </w:r>
      <w:r>
        <w:rPr>
          <w:rFonts w:eastAsia="仿宋_GB2312" w:hAnsi="仿宋_GB2312"/>
          <w:sz w:val="32"/>
          <w:szCs w:val="32"/>
        </w:rPr>
        <w:t>推动</w:t>
      </w:r>
      <w:r>
        <w:rPr>
          <w:rFonts w:eastAsia="仿宋_GB2312"/>
          <w:sz w:val="32"/>
          <w:szCs w:val="32"/>
        </w:rPr>
        <w:t>“</w:t>
      </w:r>
      <w:r>
        <w:rPr>
          <w:rFonts w:eastAsia="仿宋_GB2312" w:hAnsi="仿宋_GB2312"/>
          <w:sz w:val="32"/>
          <w:szCs w:val="32"/>
        </w:rPr>
        <w:t>两个责任</w:t>
      </w:r>
      <w:r>
        <w:rPr>
          <w:rFonts w:eastAsia="仿宋_GB2312"/>
          <w:sz w:val="32"/>
          <w:szCs w:val="32"/>
        </w:rPr>
        <w:t>”</w:t>
      </w:r>
      <w:r>
        <w:rPr>
          <w:rFonts w:eastAsia="仿宋_GB2312" w:hAnsi="仿宋_GB2312"/>
          <w:sz w:val="32"/>
          <w:szCs w:val="32"/>
        </w:rPr>
        <w:t>的落</w:t>
      </w:r>
      <w:r>
        <w:rPr>
          <w:rFonts w:eastAsia="仿宋_GB2312" w:hAnsi="Calibri"/>
          <w:sz w:val="32"/>
          <w:szCs w:val="32"/>
        </w:rPr>
        <w:t>实。</w:t>
      </w:r>
      <w:r>
        <w:rPr>
          <w:rFonts w:eastAsia="仿宋_GB2312"/>
          <w:sz w:val="32"/>
          <w:szCs w:val="32"/>
        </w:rPr>
        <w:t>印发了</w:t>
      </w:r>
      <w:r>
        <w:rPr>
          <w:rFonts w:eastAsia="仿宋_GB2312" w:hint="eastAsia"/>
          <w:sz w:val="32"/>
          <w:szCs w:val="32"/>
        </w:rPr>
        <w:t>《关于做好</w:t>
      </w:r>
      <w:r>
        <w:rPr>
          <w:rFonts w:eastAsia="仿宋_GB2312" w:hint="eastAsia"/>
          <w:sz w:val="32"/>
          <w:szCs w:val="32"/>
        </w:rPr>
        <w:t>2018</w:t>
      </w:r>
      <w:r>
        <w:rPr>
          <w:rFonts w:eastAsia="仿宋_GB2312" w:hint="eastAsia"/>
          <w:sz w:val="32"/>
          <w:szCs w:val="32"/>
        </w:rPr>
        <w:t>年度落实党风廉政建设主体责任“签字背书”工作的通知》</w:t>
      </w:r>
      <w:r>
        <w:rPr>
          <w:rFonts w:eastAsia="仿宋_GB2312"/>
          <w:sz w:val="32"/>
          <w:szCs w:val="32"/>
        </w:rPr>
        <w:t>，组织全县</w:t>
      </w:r>
      <w:r>
        <w:rPr>
          <w:rFonts w:eastAsia="仿宋_GB2312"/>
          <w:sz w:val="32"/>
          <w:szCs w:val="32"/>
        </w:rPr>
        <w:t>82</w:t>
      </w:r>
      <w:r>
        <w:rPr>
          <w:rFonts w:eastAsia="仿宋_GB2312"/>
          <w:sz w:val="32"/>
          <w:szCs w:val="32"/>
        </w:rPr>
        <w:t>个单位的党组织书记签订了</w:t>
      </w:r>
      <w:r>
        <w:rPr>
          <w:rFonts w:eastAsia="仿宋_GB2312" w:hint="eastAsia"/>
          <w:sz w:val="32"/>
          <w:szCs w:val="32"/>
        </w:rPr>
        <w:t>《</w:t>
      </w:r>
      <w:r>
        <w:rPr>
          <w:rFonts w:eastAsia="仿宋_GB2312" w:hint="eastAsia"/>
          <w:sz w:val="32"/>
          <w:szCs w:val="32"/>
        </w:rPr>
        <w:t>2018</w:t>
      </w:r>
      <w:r>
        <w:rPr>
          <w:rFonts w:eastAsia="仿宋_GB2312" w:hint="eastAsia"/>
          <w:sz w:val="32"/>
          <w:szCs w:val="32"/>
        </w:rPr>
        <w:t>年度落实党风廉政建设主体责任承诺书》</w:t>
      </w:r>
      <w:r>
        <w:rPr>
          <w:rFonts w:eastAsia="仿宋_GB2312"/>
          <w:sz w:val="32"/>
          <w:szCs w:val="32"/>
        </w:rPr>
        <w:t>。协助县委召开</w:t>
      </w:r>
      <w:r>
        <w:rPr>
          <w:rFonts w:eastAsia="仿宋_GB2312"/>
          <w:sz w:val="32"/>
          <w:szCs w:val="32"/>
        </w:rPr>
        <w:t>3</w:t>
      </w:r>
      <w:r>
        <w:rPr>
          <w:rFonts w:eastAsia="仿宋_GB2312"/>
          <w:sz w:val="32"/>
          <w:szCs w:val="32"/>
        </w:rPr>
        <w:t>次全县领导干部警示教育大会，通报典型案例</w:t>
      </w:r>
      <w:r>
        <w:rPr>
          <w:rFonts w:eastAsia="仿宋_GB2312"/>
          <w:sz w:val="32"/>
          <w:szCs w:val="32"/>
        </w:rPr>
        <w:t>1</w:t>
      </w:r>
      <w:r>
        <w:rPr>
          <w:rFonts w:eastAsia="仿宋_GB2312" w:hint="eastAsia"/>
          <w:sz w:val="32"/>
          <w:szCs w:val="32"/>
        </w:rPr>
        <w:t>9</w:t>
      </w:r>
      <w:r>
        <w:rPr>
          <w:rFonts w:eastAsia="仿宋_GB2312"/>
          <w:sz w:val="32"/>
          <w:szCs w:val="32"/>
        </w:rPr>
        <w:t>起</w:t>
      </w:r>
      <w:r>
        <w:rPr>
          <w:rFonts w:ascii="仿宋_GB2312" w:eastAsia="仿宋_GB2312" w:hint="eastAsia"/>
          <w:sz w:val="32"/>
          <w:szCs w:val="32"/>
        </w:rPr>
        <w:t>，持续营造“不敢腐”的氛围。</w:t>
      </w:r>
      <w:r>
        <w:rPr>
          <w:rFonts w:ascii="仿宋_GB2312" w:eastAsia="仿宋_GB2312" w:hint="eastAsia"/>
          <w:b/>
          <w:sz w:val="32"/>
          <w:szCs w:val="32"/>
        </w:rPr>
        <w:t>三是用好“问责利器”。</w:t>
      </w:r>
      <w:r>
        <w:rPr>
          <w:rFonts w:eastAsia="仿宋_GB2312"/>
          <w:sz w:val="32"/>
          <w:szCs w:val="32"/>
        </w:rPr>
        <w:t>严格落实省委《河北省落实党风廉政建设主体责任和监督责任追究办法（试行）》和市委《关于廊坊市对落实党风廉政建设监督责任失职渎职行为实施责任追究暂行办法》，</w:t>
      </w:r>
      <w:r>
        <w:rPr>
          <w:rFonts w:ascii="Calibri" w:eastAsia="仿宋_GB2312" w:hAnsi="Calibri"/>
          <w:sz w:val="32"/>
          <w:szCs w:val="32"/>
        </w:rPr>
        <w:t>针对责任落实不</w:t>
      </w:r>
      <w:r>
        <w:rPr>
          <w:rFonts w:ascii="Calibri" w:eastAsia="仿宋_GB2312" w:hAnsi="Calibri"/>
          <w:sz w:val="32"/>
          <w:szCs w:val="32"/>
        </w:rPr>
        <w:t>力、失职失责等行为，及时问责追责，</w:t>
      </w:r>
      <w:r>
        <w:rPr>
          <w:rFonts w:ascii="Calibri" w:eastAsia="仿宋_GB2312" w:hAnsi="Calibri"/>
          <w:kern w:val="0"/>
          <w:sz w:val="32"/>
          <w:szCs w:val="32"/>
        </w:rPr>
        <w:t>用问责追责倒逼</w:t>
      </w:r>
      <w:r>
        <w:rPr>
          <w:rFonts w:ascii="Calibri" w:eastAsia="仿宋_GB2312" w:hAnsi="Calibri"/>
          <w:kern w:val="0"/>
          <w:sz w:val="32"/>
          <w:szCs w:val="32"/>
        </w:rPr>
        <w:lastRenderedPageBreak/>
        <w:t>履责尽责。目前，已</w:t>
      </w:r>
      <w:r>
        <w:rPr>
          <w:rFonts w:ascii="Calibri" w:eastAsia="仿宋_GB2312" w:hAnsi="Calibri" w:hint="eastAsia"/>
          <w:kern w:val="0"/>
          <w:sz w:val="32"/>
          <w:szCs w:val="32"/>
        </w:rPr>
        <w:t>对</w:t>
      </w:r>
      <w:r>
        <w:rPr>
          <w:rFonts w:ascii="Calibri" w:eastAsia="仿宋_GB2312" w:hAnsi="Calibri"/>
          <w:kern w:val="0"/>
          <w:sz w:val="32"/>
          <w:szCs w:val="32"/>
        </w:rPr>
        <w:t>环保</w:t>
      </w:r>
      <w:r>
        <w:rPr>
          <w:rFonts w:eastAsia="仿宋_GB2312" w:hint="eastAsia"/>
          <w:kern w:val="0"/>
          <w:sz w:val="32"/>
          <w:szCs w:val="32"/>
        </w:rPr>
        <w:t>、</w:t>
      </w:r>
      <w:r>
        <w:rPr>
          <w:rFonts w:eastAsia="仿宋_GB2312"/>
          <w:kern w:val="0"/>
          <w:sz w:val="32"/>
          <w:szCs w:val="32"/>
        </w:rPr>
        <w:t>扶贫等领域</w:t>
      </w:r>
      <w:r>
        <w:rPr>
          <w:rFonts w:eastAsia="仿宋_GB2312" w:hint="eastAsia"/>
          <w:kern w:val="0"/>
          <w:sz w:val="32"/>
          <w:szCs w:val="32"/>
        </w:rPr>
        <w:t>问责</w:t>
      </w:r>
      <w:r>
        <w:rPr>
          <w:rFonts w:eastAsia="仿宋_GB2312"/>
          <w:kern w:val="0"/>
          <w:sz w:val="32"/>
          <w:szCs w:val="32"/>
        </w:rPr>
        <w:t>80</w:t>
      </w:r>
      <w:r>
        <w:rPr>
          <w:rFonts w:eastAsia="仿宋_GB2312" w:hint="eastAsia"/>
          <w:kern w:val="0"/>
          <w:sz w:val="32"/>
          <w:szCs w:val="32"/>
        </w:rPr>
        <w:t>人次，其中给予党纪政务处</w:t>
      </w:r>
      <w:r>
        <w:rPr>
          <w:rFonts w:eastAsia="仿宋_GB2312"/>
          <w:kern w:val="0"/>
          <w:sz w:val="32"/>
          <w:szCs w:val="32"/>
        </w:rPr>
        <w:t>分</w:t>
      </w:r>
      <w:r>
        <w:rPr>
          <w:rFonts w:eastAsia="仿宋_GB2312"/>
          <w:kern w:val="0"/>
          <w:sz w:val="32"/>
          <w:szCs w:val="32"/>
        </w:rPr>
        <w:t>14</w:t>
      </w:r>
      <w:r>
        <w:rPr>
          <w:rFonts w:eastAsia="仿宋_GB2312"/>
          <w:kern w:val="0"/>
          <w:sz w:val="32"/>
          <w:szCs w:val="32"/>
        </w:rPr>
        <w:t>人，组织处理</w:t>
      </w:r>
      <w:r>
        <w:rPr>
          <w:rFonts w:eastAsia="仿宋_GB2312"/>
          <w:kern w:val="0"/>
          <w:sz w:val="32"/>
          <w:szCs w:val="32"/>
        </w:rPr>
        <w:t>66</w:t>
      </w:r>
      <w:r>
        <w:rPr>
          <w:rFonts w:eastAsia="仿宋_GB2312"/>
          <w:kern w:val="0"/>
          <w:sz w:val="32"/>
          <w:szCs w:val="32"/>
        </w:rPr>
        <w:t>人次</w:t>
      </w:r>
      <w:r>
        <w:rPr>
          <w:rFonts w:eastAsia="仿宋_GB2312" w:hAnsi="Calibri"/>
          <w:kern w:val="0"/>
          <w:sz w:val="32"/>
          <w:szCs w:val="32"/>
        </w:rPr>
        <w:t>，</w:t>
      </w:r>
      <w:r>
        <w:rPr>
          <w:rFonts w:ascii="Calibri" w:eastAsia="仿宋_GB2312" w:hAnsi="Calibri"/>
          <w:kern w:val="0"/>
          <w:sz w:val="32"/>
          <w:szCs w:val="32"/>
          <w:lang w:val="zh-CN"/>
        </w:rPr>
        <w:t>失责必问、问责必严已成为常态</w:t>
      </w:r>
      <w:r>
        <w:rPr>
          <w:rFonts w:eastAsia="仿宋_GB2312" w:hint="eastAsia"/>
          <w:kern w:val="0"/>
          <w:sz w:val="32"/>
          <w:szCs w:val="32"/>
        </w:rPr>
        <w:t>。</w:t>
      </w:r>
      <w:r>
        <w:rPr>
          <w:rFonts w:ascii="仿宋_GB2312" w:eastAsia="仿宋_GB2312" w:hint="eastAsia"/>
          <w:b/>
          <w:sz w:val="32"/>
          <w:szCs w:val="32"/>
        </w:rPr>
        <w:t>四是发挥巡察“利剑”作用。</w:t>
      </w:r>
      <w:r>
        <w:rPr>
          <w:rFonts w:ascii="Calibri" w:eastAsia="仿宋_GB2312" w:hAnsi="Calibri"/>
          <w:kern w:val="0"/>
          <w:sz w:val="32"/>
          <w:szCs w:val="32"/>
          <w:lang w:val="zh-CN"/>
        </w:rPr>
        <w:t>充分发挥巡察政治</w:t>
      </w:r>
      <w:r>
        <w:rPr>
          <w:rFonts w:ascii="Calibri" w:eastAsia="仿宋_GB2312" w:hAnsi="Calibri" w:hint="eastAsia"/>
          <w:kern w:val="0"/>
          <w:sz w:val="32"/>
          <w:szCs w:val="32"/>
          <w:lang w:val="zh-CN"/>
        </w:rPr>
        <w:t>“</w:t>
      </w:r>
      <w:r>
        <w:rPr>
          <w:rFonts w:ascii="Calibri" w:eastAsia="仿宋_GB2312" w:hAnsi="Calibri"/>
          <w:kern w:val="0"/>
          <w:sz w:val="32"/>
          <w:szCs w:val="32"/>
          <w:lang w:val="zh-CN"/>
        </w:rPr>
        <w:t>显微镜</w:t>
      </w:r>
      <w:r>
        <w:rPr>
          <w:rFonts w:ascii="Calibri" w:eastAsia="仿宋_GB2312" w:hAnsi="Calibri" w:hint="eastAsia"/>
          <w:kern w:val="0"/>
          <w:sz w:val="32"/>
          <w:szCs w:val="32"/>
          <w:lang w:val="zh-CN"/>
        </w:rPr>
        <w:t>”</w:t>
      </w:r>
      <w:r>
        <w:rPr>
          <w:rFonts w:ascii="Calibri" w:eastAsia="仿宋_GB2312" w:hAnsi="Calibri"/>
          <w:kern w:val="0"/>
          <w:sz w:val="32"/>
          <w:szCs w:val="32"/>
          <w:lang w:val="zh-CN"/>
        </w:rPr>
        <w:t>和</w:t>
      </w:r>
      <w:r>
        <w:rPr>
          <w:rFonts w:ascii="Calibri" w:eastAsia="仿宋_GB2312" w:hAnsi="Calibri" w:hint="eastAsia"/>
          <w:kern w:val="0"/>
          <w:sz w:val="32"/>
          <w:szCs w:val="32"/>
          <w:lang w:val="zh-CN"/>
        </w:rPr>
        <w:t>“</w:t>
      </w:r>
      <w:r>
        <w:rPr>
          <w:rFonts w:ascii="Calibri" w:eastAsia="仿宋_GB2312" w:hAnsi="Calibri"/>
          <w:kern w:val="0"/>
          <w:sz w:val="32"/>
          <w:szCs w:val="32"/>
          <w:lang w:val="zh-CN"/>
        </w:rPr>
        <w:t>探照灯</w:t>
      </w:r>
      <w:r>
        <w:rPr>
          <w:rFonts w:ascii="Calibri" w:eastAsia="仿宋_GB2312" w:hAnsi="Calibri" w:hint="eastAsia"/>
          <w:kern w:val="0"/>
          <w:sz w:val="32"/>
          <w:szCs w:val="32"/>
          <w:lang w:val="zh-CN"/>
        </w:rPr>
        <w:t>”</w:t>
      </w:r>
      <w:r>
        <w:rPr>
          <w:rFonts w:ascii="Calibri" w:eastAsia="仿宋_GB2312" w:hAnsi="Calibri"/>
          <w:kern w:val="0"/>
          <w:sz w:val="32"/>
          <w:szCs w:val="32"/>
          <w:lang w:val="zh-CN"/>
        </w:rPr>
        <w:t>作用，</w:t>
      </w:r>
      <w:r>
        <w:rPr>
          <w:rFonts w:eastAsia="仿宋_GB2312"/>
          <w:kern w:val="0"/>
          <w:sz w:val="32"/>
          <w:szCs w:val="32"/>
          <w:lang w:val="zh-CN"/>
        </w:rPr>
        <w:t>紧盯</w:t>
      </w:r>
      <w:r>
        <w:rPr>
          <w:rFonts w:ascii="仿宋_GB2312" w:eastAsia="仿宋_GB2312" w:hint="eastAsia"/>
          <w:sz w:val="32"/>
          <w:szCs w:val="32"/>
        </w:rPr>
        <w:t>被巡察党组织政治立场和政治生态，</w:t>
      </w:r>
      <w:r>
        <w:rPr>
          <w:rFonts w:eastAsia="仿宋_GB2312" w:hint="eastAsia"/>
          <w:bCs/>
          <w:sz w:val="32"/>
          <w:szCs w:val="32"/>
        </w:rPr>
        <w:t>启动了十一届县委第三轮巡察，对房管局、发改局、一中等</w:t>
      </w:r>
      <w:r>
        <w:rPr>
          <w:rFonts w:eastAsia="仿宋_GB2312" w:hint="eastAsia"/>
          <w:bCs/>
          <w:sz w:val="32"/>
          <w:szCs w:val="32"/>
        </w:rPr>
        <w:t>14</w:t>
      </w:r>
      <w:r>
        <w:rPr>
          <w:rFonts w:eastAsia="仿宋_GB2312" w:hint="eastAsia"/>
          <w:bCs/>
          <w:sz w:val="32"/>
          <w:szCs w:val="32"/>
        </w:rPr>
        <w:t>个单位开展巡察。</w:t>
      </w:r>
      <w:r>
        <w:rPr>
          <w:rFonts w:ascii="仿宋_GB2312" w:eastAsia="仿宋_GB2312" w:hAnsi="宋体" w:hint="eastAsia"/>
          <w:color w:val="000000"/>
          <w:spacing w:val="-7"/>
          <w:sz w:val="32"/>
          <w:szCs w:val="32"/>
        </w:rPr>
        <w:t>同时，坚持巡察整改常态化，制定了</w:t>
      </w:r>
      <w:r>
        <w:rPr>
          <w:rFonts w:ascii="Calibri" w:eastAsia="仿宋_GB2312" w:hAnsi="Calibri" w:hint="eastAsia"/>
          <w:sz w:val="32"/>
          <w:szCs w:val="32"/>
        </w:rPr>
        <w:t>《关于推进巡视巡察问题整改常态化长效化的实施办法》</w:t>
      </w:r>
      <w:r>
        <w:rPr>
          <w:rFonts w:eastAsia="仿宋_GB2312" w:hint="eastAsia"/>
          <w:sz w:val="32"/>
          <w:szCs w:val="32"/>
        </w:rPr>
        <w:t>。对照前两轮巡察发现的问题线索，形成了</w:t>
      </w:r>
      <w:r>
        <w:rPr>
          <w:rFonts w:ascii="Calibri" w:eastAsia="仿宋_GB2312" w:hAnsi="Calibri"/>
          <w:sz w:val="32"/>
          <w:szCs w:val="32"/>
        </w:rPr>
        <w:t>《关于围绕十一届县委两轮巡察共性问题开展自查整改活动的通知》</w:t>
      </w:r>
      <w:r>
        <w:rPr>
          <w:rFonts w:eastAsia="仿宋_GB2312" w:hint="eastAsia"/>
          <w:sz w:val="32"/>
          <w:szCs w:val="32"/>
        </w:rPr>
        <w:t>，</w:t>
      </w:r>
      <w:r>
        <w:rPr>
          <w:rFonts w:eastAsia="仿宋_GB2312"/>
          <w:sz w:val="32"/>
          <w:szCs w:val="32"/>
        </w:rPr>
        <w:t>组织全县各级党组织进行</w:t>
      </w:r>
      <w:r>
        <w:rPr>
          <w:rFonts w:eastAsia="仿宋_GB2312"/>
          <w:sz w:val="32"/>
          <w:szCs w:val="32"/>
        </w:rPr>
        <w:t>整改。</w:t>
      </w:r>
      <w:r>
        <w:rPr>
          <w:rFonts w:eastAsia="仿宋_GB2312" w:hAnsi="Calibri"/>
          <w:sz w:val="32"/>
          <w:szCs w:val="32"/>
        </w:rPr>
        <w:t>。</w:t>
      </w:r>
      <w:r>
        <w:rPr>
          <w:rFonts w:ascii="仿宋_GB2312" w:eastAsia="仿宋_GB2312" w:hint="eastAsia"/>
          <w:b/>
          <w:bCs/>
          <w:kern w:val="0"/>
          <w:sz w:val="32"/>
          <w:szCs w:val="32"/>
        </w:rPr>
        <w:t>五</w:t>
      </w:r>
      <w:r>
        <w:rPr>
          <w:rFonts w:ascii="仿宋_GB2312" w:eastAsia="仿宋_GB2312" w:hint="eastAsia"/>
          <w:b/>
          <w:kern w:val="0"/>
          <w:sz w:val="32"/>
          <w:szCs w:val="32"/>
        </w:rPr>
        <w:t>是坚持正风肃纪不放松。</w:t>
      </w:r>
      <w:r>
        <w:rPr>
          <w:rFonts w:ascii="仿宋_GB2312" w:eastAsia="仿宋_GB2312" w:hint="eastAsia"/>
          <w:sz w:val="32"/>
          <w:szCs w:val="32"/>
        </w:rPr>
        <w:t>坚持以钉钉子精神打好作风建设持久战，扎实推进纠正“四风”和作风纪律专项整治，把监督检查中央八项规定精神及其实施细则作为重点任务和经常性工作，印发了《关于以落实八项规定精神抓党风促政风的实施意见》，实行节点提醒、明察暗访、专项督查、通报曝光等机制，坚决防止“四风”反弹回潮。目前，</w:t>
      </w:r>
      <w:r>
        <w:rPr>
          <w:rFonts w:eastAsia="仿宋_GB2312"/>
          <w:sz w:val="32"/>
          <w:szCs w:val="32"/>
        </w:rPr>
        <w:t>利用《廉政提醒通知》、《警示通知书》向全县科级以上干部提醒</w:t>
      </w:r>
      <w:r>
        <w:rPr>
          <w:rFonts w:eastAsia="仿宋_GB2312"/>
          <w:sz w:val="32"/>
          <w:szCs w:val="32"/>
        </w:rPr>
        <w:t>5</w:t>
      </w:r>
      <w:r>
        <w:rPr>
          <w:rFonts w:eastAsia="仿宋_GB2312"/>
          <w:sz w:val="32"/>
          <w:szCs w:val="32"/>
        </w:rPr>
        <w:t>次</w:t>
      </w:r>
      <w:r>
        <w:rPr>
          <w:rFonts w:eastAsia="仿宋_GB2312" w:hint="eastAsia"/>
          <w:sz w:val="32"/>
          <w:szCs w:val="32"/>
        </w:rPr>
        <w:t>；</w:t>
      </w:r>
      <w:r>
        <w:rPr>
          <w:rFonts w:eastAsia="仿宋_GB2312"/>
          <w:sz w:val="32"/>
          <w:szCs w:val="32"/>
        </w:rPr>
        <w:t>发现问题线索</w:t>
      </w:r>
      <w:r>
        <w:rPr>
          <w:rFonts w:eastAsia="仿宋_GB2312" w:hint="eastAsia"/>
          <w:sz w:val="32"/>
          <w:szCs w:val="32"/>
        </w:rPr>
        <w:t>17</w:t>
      </w:r>
      <w:r>
        <w:rPr>
          <w:rFonts w:eastAsia="仿宋_GB2312" w:hint="eastAsia"/>
          <w:sz w:val="32"/>
          <w:szCs w:val="32"/>
        </w:rPr>
        <w:t>件，立案</w:t>
      </w:r>
      <w:r>
        <w:rPr>
          <w:rFonts w:eastAsia="仿宋_GB2312" w:hint="eastAsia"/>
          <w:sz w:val="32"/>
          <w:szCs w:val="32"/>
        </w:rPr>
        <w:t>5</w:t>
      </w:r>
      <w:r>
        <w:rPr>
          <w:rFonts w:eastAsia="仿宋_GB2312" w:hint="eastAsia"/>
          <w:sz w:val="32"/>
          <w:szCs w:val="32"/>
        </w:rPr>
        <w:t>人，给予党纪处分</w:t>
      </w:r>
      <w:r>
        <w:rPr>
          <w:rFonts w:eastAsia="仿宋_GB2312" w:hint="eastAsia"/>
          <w:sz w:val="32"/>
          <w:szCs w:val="32"/>
        </w:rPr>
        <w:t>1</w:t>
      </w:r>
      <w:r>
        <w:rPr>
          <w:rFonts w:eastAsia="仿宋_GB2312" w:hint="eastAsia"/>
          <w:sz w:val="32"/>
          <w:szCs w:val="32"/>
        </w:rPr>
        <w:t>人，运用第</w:t>
      </w:r>
      <w:r>
        <w:rPr>
          <w:rFonts w:eastAsia="仿宋_GB2312" w:hint="eastAsia"/>
          <w:sz w:val="32"/>
          <w:szCs w:val="32"/>
        </w:rPr>
        <w:t>一种形态</w:t>
      </w:r>
      <w:r>
        <w:rPr>
          <w:rFonts w:eastAsia="仿宋_GB2312" w:hint="eastAsia"/>
          <w:sz w:val="32"/>
          <w:szCs w:val="32"/>
        </w:rPr>
        <w:t>29</w:t>
      </w:r>
      <w:r>
        <w:rPr>
          <w:rFonts w:eastAsia="仿宋_GB2312" w:hint="eastAsia"/>
          <w:sz w:val="32"/>
          <w:szCs w:val="32"/>
        </w:rPr>
        <w:t>人。</w:t>
      </w:r>
      <w:r>
        <w:rPr>
          <w:rFonts w:eastAsia="仿宋_GB2312"/>
          <w:sz w:val="32"/>
          <w:szCs w:val="32"/>
        </w:rPr>
        <w:t>同时，严把党风廉政建设意见回复关，对</w:t>
      </w:r>
      <w:r>
        <w:rPr>
          <w:rFonts w:eastAsia="仿宋_GB2312"/>
          <w:sz w:val="32"/>
          <w:szCs w:val="32"/>
        </w:rPr>
        <w:t>3370</w:t>
      </w:r>
      <w:r>
        <w:rPr>
          <w:rFonts w:eastAsia="仿宋_GB2312" w:hAnsi="仿宋_GB2312"/>
          <w:sz w:val="32"/>
          <w:szCs w:val="32"/>
        </w:rPr>
        <w:t>人次进行了廉政审核，筛选出不合格人选</w:t>
      </w:r>
      <w:r>
        <w:rPr>
          <w:rFonts w:eastAsia="仿宋_GB2312"/>
          <w:sz w:val="32"/>
          <w:szCs w:val="32"/>
        </w:rPr>
        <w:t>30</w:t>
      </w:r>
      <w:r>
        <w:rPr>
          <w:rFonts w:eastAsia="仿宋_GB2312" w:hAnsi="仿宋_GB2312"/>
          <w:sz w:val="32"/>
          <w:szCs w:val="32"/>
        </w:rPr>
        <w:t>人。</w:t>
      </w:r>
      <w:r>
        <w:rPr>
          <w:rFonts w:eastAsia="仿宋_GB2312" w:hint="eastAsia"/>
          <w:b/>
          <w:sz w:val="32"/>
          <w:szCs w:val="32"/>
        </w:rPr>
        <w:t>八</w:t>
      </w:r>
      <w:r>
        <w:rPr>
          <w:rFonts w:eastAsia="仿宋_GB2312"/>
          <w:b/>
          <w:sz w:val="32"/>
          <w:szCs w:val="32"/>
        </w:rPr>
        <w:t>是坚持</w:t>
      </w:r>
      <w:r>
        <w:rPr>
          <w:rFonts w:eastAsia="仿宋_GB2312" w:hint="eastAsia"/>
          <w:b/>
          <w:sz w:val="32"/>
          <w:szCs w:val="32"/>
        </w:rPr>
        <w:t>惩治腐败</w:t>
      </w:r>
      <w:r>
        <w:rPr>
          <w:rFonts w:eastAsia="仿宋_GB2312"/>
          <w:b/>
          <w:sz w:val="32"/>
          <w:szCs w:val="32"/>
        </w:rPr>
        <w:t>不手软。</w:t>
      </w:r>
      <w:r>
        <w:rPr>
          <w:rFonts w:eastAsia="仿宋_GB2312"/>
          <w:sz w:val="32"/>
          <w:szCs w:val="32"/>
        </w:rPr>
        <w:t>全面聚焦纪律审查主责主业，注重运用监督执纪</w:t>
      </w:r>
      <w:r>
        <w:rPr>
          <w:rFonts w:eastAsia="仿宋_GB2312" w:hint="eastAsia"/>
          <w:sz w:val="32"/>
          <w:szCs w:val="32"/>
        </w:rPr>
        <w:t>“</w:t>
      </w:r>
      <w:r>
        <w:rPr>
          <w:rFonts w:eastAsia="仿宋_GB2312"/>
          <w:sz w:val="32"/>
          <w:szCs w:val="32"/>
        </w:rPr>
        <w:t>四种形态</w:t>
      </w:r>
      <w:r>
        <w:rPr>
          <w:rFonts w:eastAsia="仿宋_GB2312" w:hint="eastAsia"/>
          <w:sz w:val="32"/>
          <w:szCs w:val="32"/>
        </w:rPr>
        <w:t>”</w:t>
      </w:r>
      <w:r>
        <w:rPr>
          <w:rFonts w:eastAsia="仿宋_GB2312"/>
          <w:sz w:val="32"/>
          <w:szCs w:val="32"/>
        </w:rPr>
        <w:t>，持续出重拳，不断巩固反腐败压倒性态势。</w:t>
      </w:r>
      <w:r>
        <w:rPr>
          <w:rFonts w:eastAsia="仿宋_GB2312" w:hAnsi="仿宋_GB2312" w:hint="eastAsia"/>
          <w:bCs/>
          <w:sz w:val="32"/>
          <w:szCs w:val="32"/>
        </w:rPr>
        <w:t>目前，</w:t>
      </w:r>
      <w:r>
        <w:rPr>
          <w:rFonts w:eastAsia="仿宋_GB2312"/>
          <w:bCs/>
          <w:sz w:val="32"/>
          <w:szCs w:val="32"/>
        </w:rPr>
        <w:t>立案</w:t>
      </w:r>
      <w:r>
        <w:rPr>
          <w:rFonts w:eastAsia="仿宋_GB2312" w:hint="eastAsia"/>
          <w:bCs/>
          <w:sz w:val="32"/>
          <w:szCs w:val="32"/>
        </w:rPr>
        <w:t>85</w:t>
      </w:r>
      <w:r>
        <w:rPr>
          <w:rFonts w:eastAsia="仿宋_GB2312"/>
          <w:bCs/>
          <w:sz w:val="32"/>
          <w:szCs w:val="32"/>
        </w:rPr>
        <w:t>件，结案</w:t>
      </w:r>
      <w:r>
        <w:rPr>
          <w:rFonts w:eastAsia="仿宋_GB2312" w:hint="eastAsia"/>
          <w:bCs/>
          <w:sz w:val="32"/>
          <w:szCs w:val="32"/>
        </w:rPr>
        <w:t>85</w:t>
      </w:r>
      <w:r>
        <w:rPr>
          <w:rFonts w:eastAsia="仿宋_GB2312"/>
          <w:bCs/>
          <w:sz w:val="32"/>
          <w:szCs w:val="32"/>
        </w:rPr>
        <w:t>件，</w:t>
      </w:r>
      <w:r>
        <w:rPr>
          <w:rFonts w:eastAsia="仿宋_GB2312"/>
          <w:bCs/>
          <w:sz w:val="32"/>
          <w:szCs w:val="32"/>
        </w:rPr>
        <w:lastRenderedPageBreak/>
        <w:t>给予党纪政务处分</w:t>
      </w:r>
      <w:r>
        <w:rPr>
          <w:rFonts w:eastAsia="仿宋_GB2312" w:hint="eastAsia"/>
          <w:bCs/>
          <w:sz w:val="32"/>
          <w:szCs w:val="32"/>
        </w:rPr>
        <w:t>84</w:t>
      </w:r>
      <w:r>
        <w:rPr>
          <w:rFonts w:eastAsia="仿宋_GB2312"/>
          <w:bCs/>
          <w:sz w:val="32"/>
          <w:szCs w:val="32"/>
        </w:rPr>
        <w:t>人</w:t>
      </w:r>
      <w:r>
        <w:rPr>
          <w:rFonts w:eastAsia="仿宋_GB2312" w:hint="eastAsia"/>
          <w:bCs/>
          <w:sz w:val="32"/>
          <w:szCs w:val="32"/>
        </w:rPr>
        <w:t>，</w:t>
      </w:r>
      <w:r>
        <w:rPr>
          <w:rFonts w:eastAsia="仿宋_GB2312"/>
          <w:bCs/>
          <w:sz w:val="32"/>
          <w:szCs w:val="32"/>
        </w:rPr>
        <w:t>涉及科级干部</w:t>
      </w:r>
      <w:r>
        <w:rPr>
          <w:rFonts w:eastAsia="仿宋_GB2312" w:hint="eastAsia"/>
          <w:bCs/>
          <w:sz w:val="32"/>
          <w:szCs w:val="32"/>
        </w:rPr>
        <w:t>34</w:t>
      </w:r>
      <w:r>
        <w:rPr>
          <w:rFonts w:eastAsia="仿宋_GB2312" w:hint="eastAsia"/>
          <w:bCs/>
          <w:sz w:val="32"/>
          <w:szCs w:val="32"/>
        </w:rPr>
        <w:t>人。</w:t>
      </w:r>
      <w:r>
        <w:rPr>
          <w:rFonts w:eastAsia="仿宋_GB2312"/>
          <w:sz w:val="32"/>
          <w:szCs w:val="32"/>
        </w:rPr>
        <w:t>印发《执纪监督监察工作流程图及常用文书》《监察委员会调查措施使用规范（试行）》和《纪检监察工作文书使用管理规范（试行）》，绘制工作流程图，与相关单位建立问题线索快查快结、联合协作等工作机制，全要素运用</w:t>
      </w:r>
      <w:r>
        <w:rPr>
          <w:rFonts w:eastAsia="仿宋_GB2312"/>
          <w:sz w:val="32"/>
          <w:szCs w:val="32"/>
        </w:rPr>
        <w:t>12</w:t>
      </w:r>
      <w:r>
        <w:rPr>
          <w:rFonts w:eastAsia="仿宋_GB2312"/>
          <w:sz w:val="32"/>
          <w:szCs w:val="32"/>
        </w:rPr>
        <w:t>项调查措施，大胆运用留置措施，对</w:t>
      </w:r>
      <w:r>
        <w:rPr>
          <w:rFonts w:eastAsia="仿宋_GB2312"/>
          <w:sz w:val="32"/>
          <w:szCs w:val="32"/>
        </w:rPr>
        <w:t>2</w:t>
      </w:r>
      <w:r>
        <w:rPr>
          <w:rFonts w:eastAsia="仿宋_GB2312"/>
          <w:sz w:val="32"/>
          <w:szCs w:val="32"/>
        </w:rPr>
        <w:t>人采取留置措施，移送检察机关审查起诉</w:t>
      </w:r>
      <w:r>
        <w:rPr>
          <w:rFonts w:eastAsia="仿宋_GB2312"/>
          <w:sz w:val="32"/>
          <w:szCs w:val="32"/>
        </w:rPr>
        <w:t>2</w:t>
      </w:r>
      <w:r>
        <w:rPr>
          <w:rFonts w:eastAsia="仿宋_GB2312"/>
          <w:sz w:val="32"/>
          <w:szCs w:val="32"/>
        </w:rPr>
        <w:t>人。</w:t>
      </w:r>
      <w:r>
        <w:rPr>
          <w:rFonts w:eastAsia="仿宋_GB2312" w:hint="eastAsia"/>
          <w:sz w:val="32"/>
          <w:szCs w:val="32"/>
        </w:rPr>
        <w:t>同时，省委第九巡视组交办的</w:t>
      </w:r>
      <w:r>
        <w:rPr>
          <w:rFonts w:eastAsia="仿宋_GB2312" w:hint="eastAsia"/>
          <w:sz w:val="32"/>
          <w:szCs w:val="32"/>
        </w:rPr>
        <w:t>112</w:t>
      </w:r>
      <w:r>
        <w:rPr>
          <w:rFonts w:eastAsia="仿宋_GB2312" w:hint="eastAsia"/>
          <w:sz w:val="32"/>
          <w:szCs w:val="32"/>
        </w:rPr>
        <w:t>件问题线索，正在初核</w:t>
      </w:r>
      <w:r>
        <w:rPr>
          <w:rFonts w:eastAsia="仿宋_GB2312" w:hint="eastAsia"/>
          <w:sz w:val="32"/>
          <w:szCs w:val="32"/>
        </w:rPr>
        <w:t>37</w:t>
      </w:r>
      <w:r>
        <w:rPr>
          <w:rFonts w:eastAsia="仿宋_GB2312" w:hint="eastAsia"/>
          <w:sz w:val="32"/>
          <w:szCs w:val="32"/>
        </w:rPr>
        <w:t>件、谈话函询</w:t>
      </w:r>
      <w:r>
        <w:rPr>
          <w:rFonts w:eastAsia="仿宋_GB2312" w:hint="eastAsia"/>
          <w:sz w:val="32"/>
          <w:szCs w:val="32"/>
        </w:rPr>
        <w:t>1</w:t>
      </w:r>
      <w:r>
        <w:rPr>
          <w:rFonts w:eastAsia="仿宋_GB2312" w:hint="eastAsia"/>
          <w:sz w:val="32"/>
          <w:szCs w:val="32"/>
        </w:rPr>
        <w:t>件、了结</w:t>
      </w:r>
      <w:r>
        <w:rPr>
          <w:rFonts w:eastAsia="仿宋_GB2312" w:hint="eastAsia"/>
          <w:sz w:val="32"/>
          <w:szCs w:val="32"/>
        </w:rPr>
        <w:t>57</w:t>
      </w:r>
      <w:r>
        <w:rPr>
          <w:rFonts w:eastAsia="仿宋_GB2312" w:hint="eastAsia"/>
          <w:sz w:val="32"/>
          <w:szCs w:val="32"/>
        </w:rPr>
        <w:t>件（计</w:t>
      </w:r>
      <w:r>
        <w:rPr>
          <w:rFonts w:eastAsia="仿宋_GB2312" w:hint="eastAsia"/>
          <w:sz w:val="32"/>
          <w:szCs w:val="32"/>
        </w:rPr>
        <w:t>56</w:t>
      </w:r>
      <w:r>
        <w:rPr>
          <w:rFonts w:eastAsia="仿宋_GB2312" w:hint="eastAsia"/>
          <w:sz w:val="32"/>
          <w:szCs w:val="32"/>
        </w:rPr>
        <w:t>件，因一件双重办理，转公安已了结，纪委正在初核）、正在复核</w:t>
      </w:r>
      <w:r>
        <w:rPr>
          <w:rFonts w:eastAsia="仿宋_GB2312" w:hint="eastAsia"/>
          <w:sz w:val="32"/>
          <w:szCs w:val="32"/>
        </w:rPr>
        <w:t>5</w:t>
      </w:r>
      <w:r>
        <w:rPr>
          <w:rFonts w:eastAsia="仿宋_GB2312" w:hint="eastAsia"/>
          <w:sz w:val="32"/>
          <w:szCs w:val="32"/>
        </w:rPr>
        <w:t>件，立案</w:t>
      </w:r>
      <w:r>
        <w:rPr>
          <w:rFonts w:eastAsia="仿宋_GB2312" w:hint="eastAsia"/>
          <w:sz w:val="32"/>
          <w:szCs w:val="32"/>
        </w:rPr>
        <w:t>13</w:t>
      </w:r>
      <w:r>
        <w:rPr>
          <w:rFonts w:eastAsia="仿宋_GB2312" w:hint="eastAsia"/>
          <w:sz w:val="32"/>
          <w:szCs w:val="32"/>
        </w:rPr>
        <w:t>件（含合并立案</w:t>
      </w:r>
      <w:r>
        <w:rPr>
          <w:rFonts w:eastAsia="仿宋_GB2312" w:hint="eastAsia"/>
          <w:sz w:val="32"/>
          <w:szCs w:val="32"/>
        </w:rPr>
        <w:t>2</w:t>
      </w:r>
      <w:r>
        <w:rPr>
          <w:rFonts w:eastAsia="仿宋_GB2312" w:hint="eastAsia"/>
          <w:sz w:val="32"/>
          <w:szCs w:val="32"/>
        </w:rPr>
        <w:t>件），结案</w:t>
      </w:r>
      <w:r>
        <w:rPr>
          <w:rFonts w:eastAsia="仿宋_GB2312" w:hint="eastAsia"/>
          <w:sz w:val="32"/>
          <w:szCs w:val="32"/>
        </w:rPr>
        <w:t>11</w:t>
      </w:r>
      <w:r>
        <w:rPr>
          <w:rFonts w:eastAsia="仿宋_GB2312" w:hint="eastAsia"/>
          <w:sz w:val="32"/>
          <w:szCs w:val="32"/>
        </w:rPr>
        <w:t>件，处分</w:t>
      </w:r>
      <w:r>
        <w:rPr>
          <w:rFonts w:eastAsia="仿宋_GB2312" w:hint="eastAsia"/>
          <w:sz w:val="32"/>
          <w:szCs w:val="32"/>
        </w:rPr>
        <w:t>15</w:t>
      </w:r>
      <w:r>
        <w:rPr>
          <w:rFonts w:eastAsia="仿宋_GB2312" w:hint="eastAsia"/>
          <w:sz w:val="32"/>
          <w:szCs w:val="32"/>
        </w:rPr>
        <w:t>人，组织处理</w:t>
      </w:r>
      <w:r>
        <w:rPr>
          <w:rFonts w:eastAsia="仿宋_GB2312" w:hint="eastAsia"/>
          <w:sz w:val="32"/>
          <w:szCs w:val="32"/>
        </w:rPr>
        <w:t>32</w:t>
      </w:r>
      <w:r>
        <w:rPr>
          <w:rFonts w:eastAsia="仿宋_GB2312" w:hint="eastAsia"/>
          <w:sz w:val="32"/>
          <w:szCs w:val="32"/>
        </w:rPr>
        <w:t>人。</w:t>
      </w:r>
      <w:r>
        <w:rPr>
          <w:rFonts w:ascii="仿宋_GB2312" w:eastAsia="仿宋_GB2312" w:hint="eastAsia"/>
          <w:b/>
          <w:sz w:val="32"/>
          <w:szCs w:val="32"/>
        </w:rPr>
        <w:t>九</w:t>
      </w:r>
      <w:r>
        <w:rPr>
          <w:rFonts w:ascii="仿宋_GB2312" w:eastAsia="仿宋_GB2312" w:hAnsi="Calibri" w:hint="eastAsia"/>
          <w:b/>
          <w:sz w:val="32"/>
          <w:szCs w:val="32"/>
        </w:rPr>
        <w:t>是</w:t>
      </w:r>
      <w:r>
        <w:rPr>
          <w:rFonts w:ascii="仿宋_GB2312" w:eastAsia="仿宋_GB2312" w:hint="eastAsia"/>
          <w:b/>
          <w:sz w:val="32"/>
          <w:szCs w:val="32"/>
        </w:rPr>
        <w:t>坚持维护群众利益不懈怠。</w:t>
      </w:r>
      <w:r>
        <w:rPr>
          <w:rFonts w:eastAsia="仿宋_GB2312"/>
          <w:sz w:val="32"/>
          <w:szCs w:val="32"/>
        </w:rPr>
        <w:t>深入开展扶贫领域监督执纪问责工作</w:t>
      </w:r>
      <w:r>
        <w:rPr>
          <w:rFonts w:eastAsia="仿宋_GB2312" w:hint="eastAsia"/>
          <w:sz w:val="32"/>
          <w:szCs w:val="32"/>
        </w:rPr>
        <w:t>，</w:t>
      </w:r>
      <w:r>
        <w:rPr>
          <w:rFonts w:eastAsia="仿宋_GB2312"/>
          <w:sz w:val="32"/>
          <w:szCs w:val="32"/>
        </w:rPr>
        <w:t>重点围绕精准扶贫、社会救助、农村社会保障</w:t>
      </w:r>
      <w:r>
        <w:rPr>
          <w:rFonts w:eastAsia="仿宋_GB2312" w:hint="eastAsia"/>
          <w:sz w:val="32"/>
          <w:szCs w:val="32"/>
        </w:rPr>
        <w:t>等</w:t>
      </w:r>
      <w:r>
        <w:rPr>
          <w:rFonts w:eastAsia="仿宋_GB2312"/>
          <w:sz w:val="32"/>
          <w:szCs w:val="32"/>
        </w:rPr>
        <w:t>8</w:t>
      </w:r>
      <w:r>
        <w:rPr>
          <w:rFonts w:eastAsia="仿宋_GB2312"/>
          <w:sz w:val="32"/>
          <w:szCs w:val="32"/>
        </w:rPr>
        <w:t>个重点领域，深挖问题线索</w:t>
      </w:r>
      <w:r>
        <w:rPr>
          <w:rFonts w:eastAsia="仿宋_GB2312" w:hint="eastAsia"/>
          <w:sz w:val="32"/>
          <w:szCs w:val="32"/>
        </w:rPr>
        <w:t>。</w:t>
      </w:r>
      <w:r>
        <w:rPr>
          <w:rFonts w:eastAsia="仿宋_GB2312"/>
          <w:sz w:val="32"/>
          <w:szCs w:val="32"/>
        </w:rPr>
        <w:t>目前，共核查问题线索</w:t>
      </w:r>
      <w:r>
        <w:rPr>
          <w:rFonts w:eastAsia="仿宋_GB2312"/>
          <w:sz w:val="32"/>
          <w:szCs w:val="32"/>
        </w:rPr>
        <w:t>8</w:t>
      </w:r>
      <w:r>
        <w:rPr>
          <w:rFonts w:eastAsia="仿宋_GB2312" w:hint="eastAsia"/>
          <w:sz w:val="32"/>
          <w:szCs w:val="32"/>
        </w:rPr>
        <w:t>5</w:t>
      </w:r>
      <w:r>
        <w:rPr>
          <w:rFonts w:eastAsia="仿宋_GB2312"/>
          <w:sz w:val="32"/>
          <w:szCs w:val="32"/>
        </w:rPr>
        <w:t>人次，已立案</w:t>
      </w:r>
      <w:r>
        <w:rPr>
          <w:rFonts w:eastAsia="仿宋_GB2312"/>
          <w:sz w:val="32"/>
          <w:szCs w:val="32"/>
        </w:rPr>
        <w:t>16</w:t>
      </w:r>
      <w:r>
        <w:rPr>
          <w:rFonts w:eastAsia="仿宋_GB2312"/>
          <w:sz w:val="32"/>
          <w:szCs w:val="32"/>
        </w:rPr>
        <w:t>人</w:t>
      </w:r>
      <w:r>
        <w:rPr>
          <w:rFonts w:eastAsia="仿宋_GB2312" w:hint="eastAsia"/>
          <w:sz w:val="32"/>
          <w:szCs w:val="32"/>
        </w:rPr>
        <w:t>，给予</w:t>
      </w:r>
      <w:r>
        <w:rPr>
          <w:rFonts w:eastAsia="仿宋_GB2312"/>
          <w:sz w:val="32"/>
          <w:szCs w:val="32"/>
        </w:rPr>
        <w:t>党纪政务处分</w:t>
      </w:r>
      <w:r>
        <w:rPr>
          <w:rFonts w:eastAsia="仿宋_GB2312" w:hint="eastAsia"/>
          <w:sz w:val="32"/>
          <w:szCs w:val="32"/>
        </w:rPr>
        <w:t>14</w:t>
      </w:r>
      <w:r>
        <w:rPr>
          <w:rFonts w:eastAsia="仿宋_GB2312"/>
          <w:sz w:val="32"/>
          <w:szCs w:val="32"/>
        </w:rPr>
        <w:t>人</w:t>
      </w:r>
      <w:r>
        <w:rPr>
          <w:rFonts w:eastAsia="仿宋_GB2312" w:hint="eastAsia"/>
          <w:sz w:val="32"/>
          <w:szCs w:val="32"/>
        </w:rPr>
        <w:t>，</w:t>
      </w:r>
      <w:r>
        <w:rPr>
          <w:rFonts w:eastAsia="仿宋_GB2312"/>
          <w:sz w:val="32"/>
          <w:szCs w:val="32"/>
        </w:rPr>
        <w:t>运用第一种形态</w:t>
      </w:r>
      <w:r>
        <w:rPr>
          <w:rFonts w:eastAsia="仿宋_GB2312"/>
          <w:sz w:val="32"/>
          <w:szCs w:val="32"/>
        </w:rPr>
        <w:t>66</w:t>
      </w:r>
      <w:r>
        <w:rPr>
          <w:rFonts w:eastAsia="仿宋_GB2312"/>
          <w:sz w:val="32"/>
          <w:szCs w:val="32"/>
        </w:rPr>
        <w:t>人次，正在初步核实</w:t>
      </w:r>
      <w:r>
        <w:rPr>
          <w:rFonts w:eastAsia="仿宋_GB2312" w:hint="eastAsia"/>
          <w:sz w:val="32"/>
          <w:szCs w:val="32"/>
        </w:rPr>
        <w:t>3</w:t>
      </w:r>
      <w:r>
        <w:rPr>
          <w:rFonts w:eastAsia="仿宋_GB2312"/>
          <w:sz w:val="32"/>
          <w:szCs w:val="32"/>
        </w:rPr>
        <w:t>人。同时</w:t>
      </w:r>
      <w:r>
        <w:rPr>
          <w:rFonts w:eastAsia="仿宋_GB2312" w:hint="eastAsia"/>
          <w:sz w:val="32"/>
          <w:szCs w:val="32"/>
        </w:rPr>
        <w:t>，</w:t>
      </w:r>
      <w:r>
        <w:rPr>
          <w:rFonts w:eastAsia="仿宋_GB2312"/>
          <w:sz w:val="32"/>
          <w:szCs w:val="32"/>
        </w:rPr>
        <w:t>坚持把扫黑除恶同反腐败斗争和基层</w:t>
      </w:r>
      <w:r>
        <w:rPr>
          <w:rFonts w:eastAsia="仿宋_GB2312"/>
          <w:sz w:val="32"/>
          <w:szCs w:val="32"/>
        </w:rPr>
        <w:t>“</w:t>
      </w:r>
      <w:r>
        <w:rPr>
          <w:rFonts w:eastAsia="仿宋_GB2312"/>
          <w:sz w:val="32"/>
          <w:szCs w:val="32"/>
        </w:rPr>
        <w:t>拍蝇</w:t>
      </w:r>
      <w:r>
        <w:rPr>
          <w:rFonts w:eastAsia="仿宋_GB2312"/>
          <w:sz w:val="32"/>
          <w:szCs w:val="32"/>
        </w:rPr>
        <w:t>”</w:t>
      </w:r>
      <w:r>
        <w:rPr>
          <w:rFonts w:eastAsia="仿宋_GB2312"/>
          <w:sz w:val="32"/>
          <w:szCs w:val="32"/>
        </w:rPr>
        <w:t>结合起来，切实把监督执纪问责贯穿扫黑除恶专项斗争始终。将上级交办</w:t>
      </w:r>
      <w:r>
        <w:rPr>
          <w:rFonts w:eastAsia="仿宋_GB2312" w:hint="eastAsia"/>
          <w:sz w:val="32"/>
          <w:szCs w:val="32"/>
        </w:rPr>
        <w:t>、</w:t>
      </w:r>
      <w:r>
        <w:rPr>
          <w:rFonts w:eastAsia="仿宋_GB2312"/>
          <w:sz w:val="32"/>
          <w:szCs w:val="32"/>
        </w:rPr>
        <w:t>信访受理</w:t>
      </w:r>
      <w:r>
        <w:rPr>
          <w:rFonts w:eastAsia="仿宋_GB2312" w:hint="eastAsia"/>
          <w:sz w:val="32"/>
          <w:szCs w:val="32"/>
        </w:rPr>
        <w:t>和审查调查中发现的涉及基层党员干部的</w:t>
      </w:r>
      <w:r>
        <w:rPr>
          <w:rFonts w:eastAsia="仿宋_GB2312" w:hint="eastAsia"/>
          <w:sz w:val="32"/>
          <w:szCs w:val="32"/>
        </w:rPr>
        <w:t>28</w:t>
      </w:r>
      <w:r>
        <w:rPr>
          <w:rFonts w:eastAsia="仿宋_GB2312" w:hint="eastAsia"/>
          <w:sz w:val="32"/>
          <w:szCs w:val="32"/>
        </w:rPr>
        <w:t>件涉黑涉恶问题线索移交县公安局甄别。</w:t>
      </w:r>
      <w:r>
        <w:rPr>
          <w:rFonts w:ascii="仿宋_GB2312" w:eastAsia="仿宋_GB2312" w:hint="eastAsia"/>
          <w:b/>
          <w:sz w:val="32"/>
          <w:szCs w:val="32"/>
        </w:rPr>
        <w:t>十</w:t>
      </w:r>
      <w:r>
        <w:rPr>
          <w:rFonts w:ascii="仿宋_GB2312" w:eastAsia="仿宋_GB2312" w:hint="eastAsia"/>
          <w:b/>
          <w:sz w:val="32"/>
          <w:szCs w:val="32"/>
        </w:rPr>
        <w:t>是</w:t>
      </w:r>
      <w:r>
        <w:rPr>
          <w:rFonts w:ascii="仿宋_GB2312" w:eastAsia="仿宋_GB2312" w:hAnsi="Calibri" w:hint="eastAsia"/>
          <w:b/>
          <w:sz w:val="32"/>
          <w:szCs w:val="32"/>
        </w:rPr>
        <w:t>坚持警示教育不松懈。</w:t>
      </w:r>
      <w:r>
        <w:rPr>
          <w:rFonts w:eastAsia="仿宋_GB2312"/>
          <w:bCs/>
          <w:sz w:val="32"/>
          <w:szCs w:val="32"/>
        </w:rPr>
        <w:t>坚持</w:t>
      </w:r>
      <w:r>
        <w:rPr>
          <w:rFonts w:eastAsia="仿宋_GB2312" w:hAnsi="Calibri"/>
          <w:bCs/>
          <w:sz w:val="32"/>
          <w:szCs w:val="32"/>
        </w:rPr>
        <w:t>用身边事教育身边人</w:t>
      </w:r>
      <w:r>
        <w:rPr>
          <w:rFonts w:eastAsia="仿宋_GB2312"/>
          <w:bCs/>
          <w:sz w:val="32"/>
          <w:szCs w:val="32"/>
        </w:rPr>
        <w:t>，先后召开</w:t>
      </w:r>
      <w:r>
        <w:rPr>
          <w:rFonts w:eastAsia="仿宋_GB2312"/>
          <w:bCs/>
          <w:sz w:val="32"/>
          <w:szCs w:val="32"/>
        </w:rPr>
        <w:t>3</w:t>
      </w:r>
      <w:r>
        <w:rPr>
          <w:rFonts w:eastAsia="仿宋_GB2312"/>
          <w:bCs/>
          <w:sz w:val="32"/>
          <w:szCs w:val="32"/>
        </w:rPr>
        <w:t>次警示教育会议，通报典型案例</w:t>
      </w:r>
      <w:r>
        <w:rPr>
          <w:rFonts w:eastAsia="仿宋_GB2312"/>
          <w:bCs/>
          <w:sz w:val="32"/>
          <w:szCs w:val="32"/>
        </w:rPr>
        <w:t>17</w:t>
      </w:r>
      <w:r>
        <w:rPr>
          <w:rFonts w:eastAsia="仿宋_GB2312"/>
          <w:bCs/>
          <w:sz w:val="32"/>
          <w:szCs w:val="32"/>
        </w:rPr>
        <w:t>起。</w:t>
      </w:r>
      <w:r>
        <w:rPr>
          <w:rFonts w:eastAsia="仿宋_GB2312"/>
          <w:sz w:val="32"/>
          <w:szCs w:val="32"/>
        </w:rPr>
        <w:t>面向</w:t>
      </w:r>
      <w:r>
        <w:rPr>
          <w:rFonts w:eastAsia="仿宋_GB2312" w:hint="eastAsia"/>
          <w:sz w:val="32"/>
          <w:szCs w:val="32"/>
        </w:rPr>
        <w:t>人社、教育</w:t>
      </w:r>
      <w:r>
        <w:rPr>
          <w:rFonts w:eastAsia="仿宋_GB2312"/>
          <w:sz w:val="32"/>
          <w:szCs w:val="32"/>
        </w:rPr>
        <w:t>等</w:t>
      </w:r>
      <w:r>
        <w:rPr>
          <w:rFonts w:eastAsia="仿宋_GB2312" w:hint="eastAsia"/>
          <w:sz w:val="32"/>
          <w:szCs w:val="32"/>
        </w:rPr>
        <w:t>9</w:t>
      </w:r>
      <w:r>
        <w:rPr>
          <w:rFonts w:eastAsia="仿宋_GB2312" w:hint="eastAsia"/>
          <w:sz w:val="32"/>
          <w:szCs w:val="32"/>
        </w:rPr>
        <w:t>个部门，开展了“清风讲堂进一线”活动，</w:t>
      </w:r>
      <w:r>
        <w:rPr>
          <w:rFonts w:eastAsia="仿宋_GB2312" w:hint="eastAsia"/>
          <w:sz w:val="32"/>
          <w:szCs w:val="32"/>
        </w:rPr>
        <w:t>200</w:t>
      </w:r>
      <w:r>
        <w:rPr>
          <w:rFonts w:eastAsia="仿宋_GB2312" w:hint="eastAsia"/>
          <w:sz w:val="32"/>
          <w:szCs w:val="32"/>
        </w:rPr>
        <w:t>余名党员干部接受了教育。</w:t>
      </w:r>
      <w:r>
        <w:rPr>
          <w:rFonts w:eastAsia="仿宋_GB2312"/>
          <w:sz w:val="32"/>
          <w:szCs w:val="32"/>
        </w:rPr>
        <w:t>举办</w:t>
      </w:r>
      <w:r>
        <w:rPr>
          <w:rFonts w:eastAsia="仿宋_GB2312"/>
          <w:sz w:val="32"/>
          <w:szCs w:val="32"/>
        </w:rPr>
        <w:t>“</w:t>
      </w:r>
      <w:r>
        <w:rPr>
          <w:rFonts w:eastAsia="仿宋_GB2312"/>
          <w:sz w:val="32"/>
          <w:szCs w:val="32"/>
        </w:rPr>
        <w:t>清风扬帆</w:t>
      </w:r>
      <w:r>
        <w:rPr>
          <w:rFonts w:eastAsia="仿宋_GB2312"/>
          <w:sz w:val="32"/>
          <w:szCs w:val="32"/>
        </w:rPr>
        <w:t xml:space="preserve"> </w:t>
      </w:r>
      <w:r>
        <w:rPr>
          <w:rFonts w:eastAsia="仿宋_GB2312"/>
          <w:sz w:val="32"/>
          <w:szCs w:val="32"/>
        </w:rPr>
        <w:t>廉洁大厂</w:t>
      </w:r>
      <w:r>
        <w:rPr>
          <w:rFonts w:eastAsia="仿宋_GB2312"/>
          <w:sz w:val="32"/>
          <w:szCs w:val="32"/>
        </w:rPr>
        <w:t>”</w:t>
      </w:r>
      <w:r>
        <w:rPr>
          <w:rFonts w:eastAsia="仿宋_GB2312"/>
          <w:sz w:val="32"/>
          <w:szCs w:val="32"/>
        </w:rPr>
        <w:t>专场</w:t>
      </w:r>
      <w:r>
        <w:rPr>
          <w:rFonts w:eastAsia="仿宋_GB2312"/>
          <w:sz w:val="32"/>
          <w:szCs w:val="32"/>
        </w:rPr>
        <w:lastRenderedPageBreak/>
        <w:t>文艺晚会，组织</w:t>
      </w:r>
      <w:r>
        <w:rPr>
          <w:rFonts w:eastAsia="仿宋_GB2312"/>
          <w:sz w:val="32"/>
          <w:szCs w:val="32"/>
        </w:rPr>
        <w:t>600</w:t>
      </w:r>
      <w:r>
        <w:rPr>
          <w:rFonts w:eastAsia="仿宋_GB2312"/>
          <w:sz w:val="32"/>
          <w:szCs w:val="32"/>
        </w:rPr>
        <w:t>余</w:t>
      </w:r>
      <w:r>
        <w:rPr>
          <w:rFonts w:eastAsia="仿宋_GB2312" w:hint="eastAsia"/>
          <w:sz w:val="32"/>
          <w:szCs w:val="32"/>
        </w:rPr>
        <w:t>名</w:t>
      </w:r>
      <w:r>
        <w:rPr>
          <w:rFonts w:eastAsia="仿宋_GB2312"/>
          <w:sz w:val="32"/>
          <w:szCs w:val="32"/>
        </w:rPr>
        <w:t>党员干部集中观看大型反腐现代京剧《脚印》</w:t>
      </w:r>
      <w:r>
        <w:rPr>
          <w:rFonts w:eastAsia="仿宋_GB2312"/>
          <w:sz w:val="32"/>
          <w:szCs w:val="32"/>
        </w:rPr>
        <w:t>，推出廉政微视频《忠诚守护幸福》和《廉洁不容演戏》</w:t>
      </w:r>
      <w:r>
        <w:rPr>
          <w:rFonts w:eastAsia="仿宋_GB2312" w:hint="eastAsia"/>
          <w:sz w:val="32"/>
          <w:szCs w:val="32"/>
        </w:rPr>
        <w:t>，</w:t>
      </w:r>
      <w:r>
        <w:rPr>
          <w:rFonts w:eastAsia="仿宋_GB2312"/>
          <w:sz w:val="32"/>
          <w:szCs w:val="32"/>
        </w:rPr>
        <w:t>组织全县各级</w:t>
      </w:r>
      <w:r>
        <w:rPr>
          <w:rFonts w:eastAsia="仿宋_GB2312" w:hint="eastAsia"/>
          <w:sz w:val="32"/>
          <w:szCs w:val="32"/>
        </w:rPr>
        <w:t>党员干部</w:t>
      </w:r>
      <w:r>
        <w:rPr>
          <w:rFonts w:eastAsia="仿宋_GB2312"/>
          <w:sz w:val="32"/>
          <w:szCs w:val="32"/>
        </w:rPr>
        <w:t>观看</w:t>
      </w:r>
      <w:r>
        <w:rPr>
          <w:rFonts w:eastAsia="仿宋_GB2312" w:hint="eastAsia"/>
          <w:sz w:val="32"/>
          <w:szCs w:val="32"/>
        </w:rPr>
        <w:t>《红包》、《不忘初心</w:t>
      </w:r>
      <w:r w:rsidR="008658E1">
        <w:rPr>
          <w:rFonts w:eastAsia="仿宋_GB2312" w:hint="eastAsia"/>
          <w:sz w:val="32"/>
          <w:szCs w:val="32"/>
        </w:rPr>
        <w:t>、</w:t>
      </w:r>
      <w:r>
        <w:rPr>
          <w:rFonts w:eastAsia="仿宋_GB2312" w:hint="eastAsia"/>
          <w:sz w:val="32"/>
          <w:szCs w:val="32"/>
        </w:rPr>
        <w:t>牢记使命》等廉政作品</w:t>
      </w:r>
      <w:r>
        <w:rPr>
          <w:rFonts w:eastAsia="仿宋_GB2312"/>
          <w:sz w:val="32"/>
          <w:szCs w:val="32"/>
        </w:rPr>
        <w:t>，</w:t>
      </w:r>
      <w:r>
        <w:rPr>
          <w:rFonts w:eastAsia="仿宋_GB2312" w:hint="eastAsia"/>
          <w:sz w:val="32"/>
          <w:szCs w:val="32"/>
        </w:rPr>
        <w:t>让</w:t>
      </w:r>
      <w:r>
        <w:rPr>
          <w:rFonts w:eastAsia="仿宋_GB2312"/>
          <w:sz w:val="32"/>
          <w:szCs w:val="32"/>
        </w:rPr>
        <w:t>党员干部把纪律规矩内化于心</w:t>
      </w:r>
      <w:r>
        <w:rPr>
          <w:rFonts w:eastAsia="仿宋_GB2312" w:hint="eastAsia"/>
          <w:sz w:val="32"/>
          <w:szCs w:val="32"/>
        </w:rPr>
        <w:t>、</w:t>
      </w:r>
      <w:r>
        <w:rPr>
          <w:rFonts w:eastAsia="仿宋_GB2312"/>
          <w:sz w:val="32"/>
          <w:szCs w:val="32"/>
        </w:rPr>
        <w:t>外化于行</w:t>
      </w:r>
      <w:r>
        <w:rPr>
          <w:rFonts w:eastAsia="仿宋_GB2312" w:hint="eastAsia"/>
          <w:sz w:val="32"/>
          <w:szCs w:val="32"/>
        </w:rPr>
        <w:t>。</w:t>
      </w:r>
    </w:p>
    <w:p w:rsidR="006E273D" w:rsidRDefault="00724371">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6E273D" w:rsidRDefault="0072437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6E273D" w:rsidRDefault="0072437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hint="eastAsia"/>
          <w:sz w:val="32"/>
          <w:szCs w:val="32"/>
        </w:rPr>
        <w:t>527.78</w:t>
      </w:r>
      <w:r>
        <w:rPr>
          <w:rFonts w:ascii="仿宋_GB2312" w:eastAsia="仿宋_GB2312" w:cs="DengXian-Regular" w:hint="eastAsia"/>
          <w:sz w:val="32"/>
          <w:szCs w:val="32"/>
        </w:rPr>
        <w:t>万元，比年初预算数增加</w:t>
      </w:r>
      <w:r>
        <w:rPr>
          <w:rFonts w:ascii="仿宋_GB2312" w:eastAsia="仿宋_GB2312" w:cs="DengXian-Regular" w:hint="eastAsia"/>
          <w:sz w:val="32"/>
          <w:szCs w:val="32"/>
        </w:rPr>
        <w:t>175.67</w:t>
      </w:r>
      <w:r>
        <w:rPr>
          <w:rFonts w:ascii="仿宋_GB2312" w:eastAsia="仿宋_GB2312" w:cs="DengXian-Regular" w:hint="eastAsia"/>
          <w:sz w:val="32"/>
          <w:szCs w:val="32"/>
        </w:rPr>
        <w:t>万元，增长</w:t>
      </w:r>
      <w:r>
        <w:rPr>
          <w:rFonts w:ascii="仿宋_GB2312" w:eastAsia="仿宋_GB2312" w:cs="DengXian-Regular" w:hint="eastAsia"/>
          <w:sz w:val="32"/>
          <w:szCs w:val="32"/>
        </w:rPr>
        <w:t>50</w:t>
      </w:r>
      <w:r>
        <w:rPr>
          <w:rFonts w:ascii="仿宋_GB2312" w:eastAsia="仿宋_GB2312" w:cs="DengXian-Regular" w:hint="eastAsia"/>
          <w:sz w:val="32"/>
          <w:szCs w:val="32"/>
        </w:rPr>
        <w:t xml:space="preserve"> </w:t>
      </w:r>
      <w:r>
        <w:rPr>
          <w:rFonts w:eastAsia="仿宋_GB2312"/>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专案经费、接待上级巡视、检查及购置办公设备增多</w:t>
      </w:r>
      <w:r>
        <w:rPr>
          <w:rFonts w:ascii="仿宋_GB2312" w:eastAsia="仿宋_GB2312" w:cs="DengXian-Regular" w:hint="eastAsia"/>
          <w:sz w:val="32"/>
          <w:szCs w:val="32"/>
        </w:rPr>
        <w:t>。</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152.47</w:t>
      </w:r>
      <w:r>
        <w:rPr>
          <w:rFonts w:eastAsia="仿宋_GB2312"/>
          <w:sz w:val="32"/>
          <w:szCs w:val="32"/>
        </w:rPr>
        <w:t>万元，增长</w:t>
      </w:r>
      <w:r>
        <w:rPr>
          <w:rFonts w:eastAsia="仿宋_GB2312" w:hint="eastAsia"/>
          <w:sz w:val="32"/>
          <w:szCs w:val="32"/>
        </w:rPr>
        <w:t>40</w:t>
      </w:r>
      <w:r>
        <w:rPr>
          <w:rFonts w:eastAsia="仿宋_GB2312"/>
          <w:sz w:val="32"/>
          <w:szCs w:val="32"/>
        </w:rPr>
        <w:t>%</w:t>
      </w:r>
      <w:r>
        <w:rPr>
          <w:rFonts w:eastAsia="仿宋_GB2312"/>
          <w:sz w:val="32"/>
          <w:szCs w:val="32"/>
        </w:rPr>
        <w:t>，主要是</w:t>
      </w:r>
      <w:r>
        <w:rPr>
          <w:rFonts w:ascii="仿宋_GB2312" w:eastAsia="仿宋_GB2312" w:cs="DengXian-Regular" w:hint="eastAsia"/>
          <w:sz w:val="32"/>
          <w:szCs w:val="32"/>
        </w:rPr>
        <w:t>专案经费、接待上级巡视、检查增多</w:t>
      </w:r>
      <w:r>
        <w:rPr>
          <w:rFonts w:eastAsia="仿宋_GB2312"/>
          <w:sz w:val="32"/>
          <w:szCs w:val="32"/>
        </w:rPr>
        <w:t>。</w:t>
      </w:r>
    </w:p>
    <w:p w:rsidR="006E273D" w:rsidRDefault="0072437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6E273D" w:rsidRDefault="00724371">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w:t>
      </w:r>
    </w:p>
    <w:p w:rsidR="006E273D" w:rsidRDefault="0072437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6E273D" w:rsidRDefault="0072437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2018</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hint="eastAsia"/>
          <w:sz w:val="32"/>
          <w:szCs w:val="32"/>
        </w:rPr>
        <w:t>7</w:t>
      </w:r>
      <w:r>
        <w:rPr>
          <w:rFonts w:ascii="仿宋_GB2312" w:eastAsia="仿宋_GB2312" w:cs="DengXian-Regular" w:hint="eastAsia"/>
          <w:sz w:val="32"/>
          <w:szCs w:val="32"/>
        </w:rPr>
        <w:t>辆，比上年增加</w:t>
      </w:r>
      <w:r>
        <w:rPr>
          <w:rFonts w:ascii="仿宋_GB2312" w:eastAsia="仿宋_GB2312" w:cs="DengXian-Regular" w:hint="eastAsia"/>
          <w:sz w:val="32"/>
          <w:szCs w:val="32"/>
        </w:rPr>
        <w:t>2</w:t>
      </w:r>
      <w:r>
        <w:rPr>
          <w:rFonts w:ascii="仿宋_GB2312" w:eastAsia="仿宋_GB2312" w:cs="DengXian-Regular" w:hint="eastAsia"/>
          <w:sz w:val="32"/>
          <w:szCs w:val="32"/>
        </w:rPr>
        <w:t>辆，主要是</w:t>
      </w:r>
      <w:r>
        <w:rPr>
          <w:rFonts w:ascii="仿宋_GB2312" w:eastAsia="仿宋_GB2312" w:cs="DengXian-Regular" w:hint="eastAsia"/>
          <w:sz w:val="32"/>
          <w:szCs w:val="32"/>
        </w:rPr>
        <w:t>从检察院调拨</w:t>
      </w:r>
      <w:r>
        <w:rPr>
          <w:rFonts w:ascii="仿宋_GB2312" w:eastAsia="仿宋_GB2312" w:cs="DengXian-Regular" w:hint="eastAsia"/>
          <w:sz w:val="32"/>
          <w:szCs w:val="32"/>
        </w:rPr>
        <w:t>2</w:t>
      </w:r>
      <w:r>
        <w:rPr>
          <w:rFonts w:ascii="仿宋_GB2312" w:eastAsia="仿宋_GB2312" w:cs="DengXian-Regular" w:hint="eastAsia"/>
          <w:sz w:val="32"/>
          <w:szCs w:val="32"/>
        </w:rPr>
        <w:t>辆车</w:t>
      </w:r>
      <w:r>
        <w:rPr>
          <w:rFonts w:ascii="仿宋_GB2312" w:eastAsia="仿宋_GB2312" w:cs="DengXian-Regular" w:hint="eastAsia"/>
          <w:sz w:val="32"/>
          <w:szCs w:val="32"/>
        </w:rPr>
        <w:t>。其中，副部（省）级及以上领导用车</w:t>
      </w:r>
      <w:r>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Pr>
          <w:rFonts w:ascii="仿宋_GB2312" w:eastAsia="仿宋_GB2312" w:cs="DengXian-Regular" w:hint="eastAsia"/>
          <w:sz w:val="32"/>
          <w:szCs w:val="32"/>
        </w:rPr>
        <w:t>1</w:t>
      </w:r>
      <w:r>
        <w:rPr>
          <w:rFonts w:ascii="仿宋_GB2312" w:eastAsia="仿宋_GB2312" w:cs="DengXian-Regular" w:hint="eastAsia"/>
          <w:sz w:val="32"/>
          <w:szCs w:val="32"/>
        </w:rPr>
        <w:t>辆，应急保障用车</w:t>
      </w:r>
      <w:r>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Pr>
          <w:rFonts w:ascii="仿宋_GB2312" w:eastAsia="仿宋_GB2312" w:cs="DengXian-Regular" w:hint="eastAsia"/>
          <w:sz w:val="32"/>
          <w:szCs w:val="32"/>
        </w:rPr>
        <w:t>6</w:t>
      </w:r>
      <w:r>
        <w:rPr>
          <w:rFonts w:ascii="仿宋_GB2312" w:eastAsia="仿宋_GB2312" w:cs="DengXian-Regular" w:hint="eastAsia"/>
          <w:sz w:val="32"/>
          <w:szCs w:val="32"/>
        </w:rPr>
        <w:t>辆，特种专业技术用车</w:t>
      </w:r>
      <w:r>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Pr>
          <w:rFonts w:ascii="仿宋_GB2312" w:eastAsia="仿宋_GB2312" w:cs="DengXian-Regular" w:hint="eastAsia"/>
          <w:sz w:val="32"/>
          <w:szCs w:val="32"/>
        </w:rPr>
        <w:t>0</w:t>
      </w:r>
      <w:r>
        <w:rPr>
          <w:rFonts w:ascii="仿宋_GB2312" w:eastAsia="仿宋_GB2312" w:cs="DengXian-Regular" w:hint="eastAsia"/>
          <w:sz w:val="32"/>
          <w:szCs w:val="32"/>
        </w:rPr>
        <w:t>辆，其他用车</w:t>
      </w:r>
      <w:r>
        <w:rPr>
          <w:rFonts w:ascii="仿宋_GB2312" w:eastAsia="仿宋_GB2312" w:cs="DengXian-Regular" w:hint="eastAsia"/>
          <w:sz w:val="32"/>
          <w:szCs w:val="32"/>
        </w:rPr>
        <w:t>0</w:t>
      </w:r>
      <w:r>
        <w:rPr>
          <w:rFonts w:ascii="仿宋_GB2312" w:eastAsia="仿宋_GB2312" w:cs="DengXian-Regular" w:hint="eastAsia"/>
          <w:sz w:val="32"/>
          <w:szCs w:val="32"/>
        </w:rPr>
        <w:t>辆；单位价值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1</w:t>
      </w:r>
      <w:r>
        <w:rPr>
          <w:rFonts w:ascii="仿宋_GB2312" w:eastAsia="仿宋_GB2312" w:cs="DengXian-Regular" w:hint="eastAsia"/>
          <w:sz w:val="32"/>
          <w:szCs w:val="32"/>
        </w:rPr>
        <w:t>台（套），比上年增</w:t>
      </w:r>
      <w:r>
        <w:rPr>
          <w:rFonts w:ascii="仿宋_GB2312" w:eastAsia="仿宋_GB2312" w:cs="DengXian-Regular" w:hint="eastAsia"/>
          <w:sz w:val="32"/>
          <w:szCs w:val="32"/>
        </w:rPr>
        <w:t>加</w:t>
      </w:r>
      <w:r>
        <w:rPr>
          <w:rFonts w:ascii="仿宋_GB2312" w:eastAsia="仿宋_GB2312" w:cs="DengXian-Regular" w:hint="eastAsia"/>
          <w:sz w:val="32"/>
          <w:szCs w:val="32"/>
        </w:rPr>
        <w:t>1</w:t>
      </w:r>
      <w:r>
        <w:rPr>
          <w:rFonts w:ascii="仿宋_GB2312" w:eastAsia="仿宋_GB2312" w:cs="DengXian-Regular" w:hint="eastAsia"/>
          <w:sz w:val="32"/>
          <w:szCs w:val="32"/>
        </w:rPr>
        <w:t>套，主要是办增加案设备</w:t>
      </w:r>
      <w:r>
        <w:rPr>
          <w:rFonts w:ascii="仿宋_GB2312" w:eastAsia="仿宋_GB2312" w:cs="DengXian-Regular" w:hint="eastAsia"/>
          <w:sz w:val="32"/>
          <w:szCs w:val="32"/>
        </w:rPr>
        <w:t>，单</w:t>
      </w:r>
      <w:r>
        <w:rPr>
          <w:rFonts w:ascii="仿宋_GB2312" w:eastAsia="仿宋_GB2312" w:cs="DengXian-Regular" w:hint="eastAsia"/>
          <w:sz w:val="32"/>
          <w:szCs w:val="32"/>
        </w:rPr>
        <w:lastRenderedPageBreak/>
        <w:t>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w:t>
      </w:r>
      <w:r>
        <w:rPr>
          <w:rFonts w:ascii="仿宋_GB2312" w:eastAsia="仿宋_GB2312" w:cs="DengXian-Regular" w:hint="eastAsia"/>
          <w:sz w:val="32"/>
          <w:szCs w:val="32"/>
        </w:rPr>
        <w:t>无</w:t>
      </w:r>
      <w:r>
        <w:rPr>
          <w:rFonts w:ascii="仿宋_GB2312" w:eastAsia="仿宋_GB2312" w:cs="DengXian-Regular" w:hint="eastAsia"/>
          <w:sz w:val="32"/>
          <w:szCs w:val="32"/>
        </w:rPr>
        <w:t>增减</w:t>
      </w:r>
      <w:r>
        <w:rPr>
          <w:rFonts w:ascii="仿宋_GB2312" w:eastAsia="仿宋_GB2312" w:cs="DengXian-Regular" w:hint="eastAsia"/>
          <w:sz w:val="32"/>
          <w:szCs w:val="32"/>
        </w:rPr>
        <w:t>变化</w:t>
      </w:r>
      <w:r>
        <w:rPr>
          <w:rFonts w:ascii="仿宋_GB2312" w:eastAsia="仿宋_GB2312" w:cs="DengXian-Regular" w:hint="eastAsia"/>
          <w:sz w:val="32"/>
          <w:szCs w:val="32"/>
        </w:rPr>
        <w:t>。</w:t>
      </w:r>
    </w:p>
    <w:p w:rsidR="006E273D" w:rsidRDefault="0072437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6E273D" w:rsidRDefault="00724371">
      <w:pPr>
        <w:widowControl/>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w:t>
      </w:r>
      <w:r>
        <w:rPr>
          <w:rFonts w:eastAsia="仿宋_GB2312"/>
          <w:sz w:val="32"/>
          <w:szCs w:val="32"/>
        </w:rPr>
        <w:t>政府性基金预算财政拨款</w:t>
      </w:r>
      <w:r>
        <w:rPr>
          <w:rFonts w:eastAsia="仿宋_GB2312" w:hint="eastAsia"/>
          <w:sz w:val="32"/>
          <w:szCs w:val="32"/>
        </w:rPr>
        <w:t>、</w:t>
      </w:r>
      <w:r>
        <w:rPr>
          <w:rFonts w:eastAsia="仿宋_GB2312"/>
          <w:sz w:val="32"/>
          <w:szCs w:val="32"/>
        </w:rPr>
        <w:t>国有资本经营预算</w:t>
      </w:r>
      <w:r>
        <w:rPr>
          <w:rFonts w:eastAsia="仿宋_GB2312" w:hint="eastAsia"/>
          <w:sz w:val="32"/>
          <w:szCs w:val="32"/>
        </w:rPr>
        <w:t>财政拨款</w:t>
      </w:r>
      <w:r>
        <w:rPr>
          <w:rFonts w:eastAsia="仿宋_GB2312" w:hint="eastAsia"/>
          <w:sz w:val="32"/>
          <w:szCs w:val="32"/>
        </w:rPr>
        <w:t>、</w:t>
      </w:r>
      <w:r>
        <w:rPr>
          <w:rFonts w:eastAsia="仿宋_GB2312"/>
          <w:sz w:val="32"/>
          <w:szCs w:val="32"/>
        </w:rPr>
        <w:t>政府采购情况</w:t>
      </w:r>
      <w:r>
        <w:rPr>
          <w:rFonts w:ascii="仿宋_GB2312" w:eastAsia="仿宋_GB2312" w:cs="DengXian-Regular" w:hint="eastAsia"/>
          <w:sz w:val="32"/>
          <w:szCs w:val="32"/>
        </w:rPr>
        <w:t>无收支及结转结余情况，故</w:t>
      </w:r>
      <w:r>
        <w:rPr>
          <w:rFonts w:eastAsia="仿宋_GB2312"/>
          <w:sz w:val="32"/>
          <w:szCs w:val="32"/>
        </w:rPr>
        <w:t>政府性基金预算财政拨款收入支出决算表</w:t>
      </w:r>
      <w:r>
        <w:rPr>
          <w:rFonts w:eastAsia="仿宋_GB2312" w:hint="eastAsia"/>
          <w:sz w:val="32"/>
          <w:szCs w:val="32"/>
        </w:rPr>
        <w:t>、</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支出决算表政府采购情况表</w:t>
      </w:r>
      <w:r>
        <w:rPr>
          <w:rFonts w:ascii="仿宋_GB2312" w:eastAsia="仿宋_GB2312" w:cs="DengXian-Regular" w:hint="eastAsia"/>
          <w:sz w:val="32"/>
          <w:szCs w:val="32"/>
        </w:rPr>
        <w:t>以空表列示。</w:t>
      </w:r>
    </w:p>
    <w:p w:rsidR="006E273D" w:rsidRDefault="0072437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6E273D" w:rsidRDefault="006E273D">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6E273D">
          <w:pgSz w:w="11906" w:h="16838"/>
          <w:pgMar w:top="2098" w:right="1474" w:bottom="1984" w:left="1588" w:header="851" w:footer="992" w:gutter="0"/>
          <w:cols w:space="0"/>
          <w:docGrid w:type="lines" w:linePitch="312"/>
        </w:sectPr>
      </w:pPr>
    </w:p>
    <w:p w:rsidR="006E273D" w:rsidRDefault="006E273D">
      <w:pPr>
        <w:widowControl/>
        <w:spacing w:line="1200" w:lineRule="exact"/>
        <w:jc w:val="center"/>
        <w:rPr>
          <w:rFonts w:asciiTheme="minorEastAsia" w:eastAsiaTheme="minorEastAsia" w:hAnsi="宋体"/>
          <w:color w:val="000000" w:themeColor="text1"/>
          <w:sz w:val="96"/>
          <w:szCs w:val="96"/>
        </w:rPr>
      </w:pPr>
    </w:p>
    <w:p w:rsidR="006E273D" w:rsidRDefault="006E273D">
      <w:pPr>
        <w:widowControl/>
        <w:spacing w:line="1200" w:lineRule="exact"/>
        <w:jc w:val="center"/>
        <w:rPr>
          <w:rFonts w:asciiTheme="minorEastAsia" w:eastAsiaTheme="minorEastAsia" w:hAnsi="宋体"/>
          <w:color w:val="000000" w:themeColor="text1"/>
          <w:sz w:val="96"/>
          <w:szCs w:val="96"/>
        </w:rPr>
      </w:pPr>
    </w:p>
    <w:p w:rsidR="006E273D" w:rsidRDefault="006E273D">
      <w:pPr>
        <w:widowControl/>
        <w:spacing w:line="1200" w:lineRule="exact"/>
        <w:jc w:val="center"/>
        <w:rPr>
          <w:rFonts w:asciiTheme="minorEastAsia" w:eastAsiaTheme="minorEastAsia" w:hAnsi="宋体"/>
          <w:color w:val="000000" w:themeColor="text1"/>
          <w:sz w:val="96"/>
          <w:szCs w:val="96"/>
        </w:rPr>
      </w:pPr>
    </w:p>
    <w:p w:rsidR="006E273D" w:rsidRDefault="00724371">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rsidR="006E273D" w:rsidRDefault="00724371">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名词解释</w:t>
      </w:r>
    </w:p>
    <w:p w:rsidR="006E273D" w:rsidRDefault="006E273D">
      <w:pPr>
        <w:rPr>
          <w:rFonts w:ascii="宋体" w:hAnsi="宋体" w:cs="ArialUnicodeMS"/>
          <w:color w:val="000000"/>
          <w:kern w:val="0"/>
        </w:rPr>
        <w:sectPr w:rsidR="006E273D">
          <w:pgSz w:w="11906" w:h="16838"/>
          <w:pgMar w:top="2098" w:right="1474" w:bottom="1984" w:left="1588" w:header="851" w:footer="992" w:gutter="0"/>
          <w:cols w:space="0"/>
          <w:docGrid w:type="lines" w:linePitch="312"/>
        </w:sectPr>
      </w:pP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w:t>
      </w:r>
      <w:r>
        <w:rPr>
          <w:rFonts w:ascii="仿宋_GB2312" w:eastAsia="仿宋_GB2312" w:hAnsiTheme="majorEastAsia" w:hint="eastAsia"/>
          <w:color w:val="000000"/>
          <w:kern w:val="0"/>
          <w:sz w:val="32"/>
          <w:szCs w:val="32"/>
        </w:rPr>
        <w:t>到下年或以后年度继续使用的资金，或项目已完成等产生的结余资金。</w:t>
      </w: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w:t>
      </w:r>
      <w:r>
        <w:rPr>
          <w:rFonts w:ascii="仿宋_GB2312" w:eastAsia="仿宋_GB2312" w:hAnsiTheme="majorEastAsia" w:hint="eastAsia"/>
          <w:color w:val="000000"/>
          <w:kern w:val="0"/>
          <w:sz w:val="32"/>
          <w:szCs w:val="32"/>
        </w:rPr>
        <w:t>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w:t>
      </w:r>
      <w:r>
        <w:rPr>
          <w:rFonts w:ascii="仿宋_GB2312" w:eastAsia="仿宋_GB2312" w:hAnsiTheme="majorEastAsia" w:hint="eastAsia"/>
          <w:color w:val="000000"/>
          <w:kern w:val="0"/>
          <w:sz w:val="32"/>
          <w:szCs w:val="32"/>
        </w:rPr>
        <w:t>务用车购置支出（含车辆购置税、牌照费）。</w:t>
      </w: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填列单位除公务用车外的其他各类交通工具（如船舶、飞机）购置支出（含车辆购置税、牌照费）。</w:t>
      </w:r>
    </w:p>
    <w:p w:rsidR="006E273D" w:rsidRDefault="0072437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6E273D" w:rsidRDefault="00724371">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b/>
          <w:bCs/>
          <w:color w:val="000000"/>
          <w:kern w:val="0"/>
          <w:sz w:val="32"/>
          <w:szCs w:val="32"/>
        </w:rPr>
        <w:t>:</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w:t>
      </w:r>
      <w:r>
        <w:rPr>
          <w:rFonts w:ascii="仿宋_GB2312" w:eastAsia="仿宋_GB2312" w:hAnsiTheme="minorHAnsi" w:cs="ArialUnicodeMS" w:hint="eastAsia"/>
          <w:kern w:val="0"/>
          <w:sz w:val="32"/>
          <w:szCs w:val="32"/>
        </w:rPr>
        <w:t>性资金定额或定项补助、财政性资金零补助四类。</w:t>
      </w:r>
    </w:p>
    <w:p w:rsidR="006E273D" w:rsidRDefault="006E273D">
      <w:pPr>
        <w:widowControl/>
        <w:spacing w:after="0" w:line="560" w:lineRule="exact"/>
        <w:ind w:firstLineChars="200" w:firstLine="640"/>
        <w:rPr>
          <w:rFonts w:ascii="仿宋_GB2312" w:eastAsia="仿宋_GB2312" w:hAnsiTheme="minorHAnsi" w:cs="ArialUnicodeMS"/>
          <w:kern w:val="0"/>
          <w:sz w:val="32"/>
          <w:szCs w:val="32"/>
        </w:rPr>
      </w:pPr>
    </w:p>
    <w:p w:rsidR="006E273D" w:rsidRDefault="006E273D">
      <w:pPr>
        <w:widowControl/>
        <w:spacing w:after="0" w:line="560" w:lineRule="exact"/>
        <w:ind w:firstLineChars="200" w:firstLine="640"/>
        <w:rPr>
          <w:rFonts w:ascii="仿宋_GB2312" w:eastAsia="仿宋_GB2312" w:hAnsiTheme="minorHAnsi" w:cs="ArialUnicodeMS"/>
          <w:kern w:val="0"/>
          <w:sz w:val="32"/>
          <w:szCs w:val="32"/>
        </w:rPr>
      </w:pPr>
    </w:p>
    <w:p w:rsidR="006E273D" w:rsidRDefault="006E273D">
      <w:pPr>
        <w:widowControl/>
        <w:spacing w:after="0" w:line="560" w:lineRule="exact"/>
        <w:ind w:firstLineChars="200" w:firstLine="640"/>
        <w:rPr>
          <w:rFonts w:ascii="仿宋_GB2312" w:eastAsia="仿宋_GB2312" w:hAnsiTheme="minorHAnsi" w:cs="ArialUnicodeMS"/>
          <w:kern w:val="0"/>
          <w:sz w:val="32"/>
          <w:szCs w:val="32"/>
        </w:rPr>
      </w:pPr>
    </w:p>
    <w:p w:rsidR="006E273D" w:rsidRDefault="006E273D">
      <w:pPr>
        <w:widowControl/>
        <w:spacing w:after="0" w:line="560" w:lineRule="exact"/>
        <w:ind w:firstLineChars="200" w:firstLine="640"/>
        <w:rPr>
          <w:rFonts w:ascii="仿宋_GB2312" w:eastAsia="仿宋_GB2312" w:hAnsiTheme="minorHAnsi" w:cs="ArialUnicodeMS"/>
          <w:kern w:val="0"/>
          <w:sz w:val="32"/>
          <w:szCs w:val="32"/>
        </w:rPr>
      </w:pPr>
    </w:p>
    <w:p w:rsidR="006E273D" w:rsidRDefault="006E273D">
      <w:pPr>
        <w:widowControl/>
        <w:spacing w:after="0" w:line="560" w:lineRule="exact"/>
        <w:ind w:firstLineChars="200" w:firstLine="640"/>
        <w:rPr>
          <w:rFonts w:ascii="仿宋_GB2312" w:eastAsia="仿宋_GB2312" w:hAnsiTheme="minorHAnsi" w:cs="ArialUnicodeMS"/>
          <w:kern w:val="0"/>
          <w:sz w:val="32"/>
          <w:szCs w:val="32"/>
        </w:rPr>
      </w:pPr>
    </w:p>
    <w:p w:rsidR="006E273D" w:rsidRDefault="006E273D">
      <w:pPr>
        <w:widowControl/>
        <w:spacing w:after="0" w:line="560" w:lineRule="exact"/>
        <w:ind w:firstLineChars="200" w:firstLine="640"/>
        <w:rPr>
          <w:rFonts w:ascii="仿宋_GB2312" w:eastAsia="仿宋_GB2312" w:hAnsiTheme="minorHAnsi" w:cs="ArialUnicodeMS"/>
          <w:kern w:val="0"/>
          <w:sz w:val="32"/>
          <w:szCs w:val="32"/>
        </w:rPr>
      </w:pPr>
    </w:p>
    <w:p w:rsidR="006E273D" w:rsidRDefault="006E273D">
      <w:pPr>
        <w:widowControl/>
        <w:spacing w:after="0" w:line="560" w:lineRule="exact"/>
        <w:ind w:firstLineChars="200" w:firstLine="640"/>
        <w:rPr>
          <w:rFonts w:ascii="仿宋_GB2312" w:eastAsia="仿宋_GB2312" w:hAnsiTheme="minorHAnsi" w:cs="ArialUnicodeMS"/>
          <w:kern w:val="0"/>
          <w:sz w:val="32"/>
          <w:szCs w:val="32"/>
        </w:rPr>
      </w:pPr>
    </w:p>
    <w:p w:rsidR="006E273D" w:rsidRDefault="006E273D">
      <w:pPr>
        <w:widowControl/>
        <w:spacing w:after="0" w:line="560" w:lineRule="exact"/>
        <w:ind w:firstLineChars="200" w:firstLine="640"/>
        <w:rPr>
          <w:rFonts w:ascii="仿宋_GB2312" w:eastAsia="仿宋_GB2312" w:hAnsiTheme="minorHAnsi" w:cs="ArialUnicodeMS"/>
          <w:kern w:val="0"/>
          <w:sz w:val="32"/>
          <w:szCs w:val="32"/>
        </w:rPr>
      </w:pPr>
    </w:p>
    <w:p w:rsidR="006E273D" w:rsidRDefault="006E273D">
      <w:pPr>
        <w:widowControl/>
        <w:spacing w:after="0" w:line="560" w:lineRule="exact"/>
        <w:ind w:firstLineChars="200" w:firstLine="640"/>
        <w:rPr>
          <w:rFonts w:ascii="仿宋_GB2312" w:eastAsia="仿宋_GB2312" w:hAnsiTheme="minorHAnsi" w:cs="ArialUnicodeMS"/>
          <w:kern w:val="0"/>
          <w:sz w:val="32"/>
          <w:szCs w:val="32"/>
        </w:rPr>
      </w:pPr>
    </w:p>
    <w:p w:rsidR="006E273D" w:rsidRDefault="006E273D">
      <w:pPr>
        <w:widowControl/>
        <w:spacing w:after="0" w:line="560" w:lineRule="exact"/>
        <w:rPr>
          <w:rFonts w:ascii="仿宋_GB2312" w:eastAsia="仿宋_GB2312" w:hAnsiTheme="minorHAnsi" w:cs="ArialUnicodeMS"/>
          <w:kern w:val="0"/>
          <w:sz w:val="32"/>
          <w:szCs w:val="32"/>
        </w:rPr>
      </w:pPr>
    </w:p>
    <w:sectPr w:rsidR="006E273D" w:rsidSect="006E273D">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71" w:rsidRDefault="00724371" w:rsidP="008658E1">
      <w:pPr>
        <w:spacing w:after="0" w:line="240" w:lineRule="auto"/>
      </w:pPr>
      <w:r>
        <w:separator/>
      </w:r>
    </w:p>
  </w:endnote>
  <w:endnote w:type="continuationSeparator" w:id="0">
    <w:p w:rsidR="00724371" w:rsidRDefault="00724371" w:rsidP="00865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4875044B-3470-4AB1-8E0D-800B73B04845}"/>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2" w:subsetted="1" w:fontKey="{B23F3985-E975-47A2-B5E8-B728B065A4C8}"/>
    <w:embedBold r:id="rId3" w:subsetted="1" w:fontKey="{018F7776-36A9-4218-A2E5-EECB8D286D2A}"/>
  </w:font>
  <w:font w:name="仿宋">
    <w:panose1 w:val="02010609060101010101"/>
    <w:charset w:val="86"/>
    <w:family w:val="modern"/>
    <w:pitch w:val="fixed"/>
    <w:sig w:usb0="800002BF" w:usb1="38CF7CFA" w:usb2="00000016" w:usb3="00000000" w:csb0="00040001" w:csb1="00000000"/>
    <w:embedRegular r:id="rId4" w:subsetted="1" w:fontKey="{89A26678-AC06-48CC-8176-57BDCA7530AC}"/>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panose1 w:val="02010609030101010101"/>
    <w:charset w:val="86"/>
    <w:family w:val="modern"/>
    <w:pitch w:val="fixed"/>
    <w:sig w:usb0="00000001" w:usb1="080E0000" w:usb2="00000010" w:usb3="00000000" w:csb0="00040000" w:csb1="00000000"/>
    <w:embedBold r:id="rId5" w:subsetted="1" w:fontKey="{D1ADA730-DF32-4909-BC6C-C21699D28DD8}"/>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71" w:rsidRDefault="00724371" w:rsidP="008658E1">
      <w:pPr>
        <w:spacing w:after="0" w:line="240" w:lineRule="auto"/>
      </w:pPr>
      <w:r>
        <w:separator/>
      </w:r>
    </w:p>
  </w:footnote>
  <w:footnote w:type="continuationSeparator" w:id="0">
    <w:p w:rsidR="00724371" w:rsidRDefault="00724371" w:rsidP="00865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DF921A9"/>
    <w:multiLevelType w:val="singleLevel"/>
    <w:tmpl w:val="5DF921A9"/>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proofState w:spelling="clean"/>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6E273D"/>
    <w:rsid w:val="0070012A"/>
    <w:rsid w:val="0070664B"/>
    <w:rsid w:val="007071B8"/>
    <w:rsid w:val="007155C2"/>
    <w:rsid w:val="00724371"/>
    <w:rsid w:val="007414DE"/>
    <w:rsid w:val="00760C0C"/>
    <w:rsid w:val="007905A9"/>
    <w:rsid w:val="007E072B"/>
    <w:rsid w:val="007E5500"/>
    <w:rsid w:val="007F055B"/>
    <w:rsid w:val="00811C2F"/>
    <w:rsid w:val="00833D46"/>
    <w:rsid w:val="00836215"/>
    <w:rsid w:val="00840A97"/>
    <w:rsid w:val="008658E1"/>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2636177"/>
    <w:rsid w:val="04073F84"/>
    <w:rsid w:val="0B60750A"/>
    <w:rsid w:val="0B7E322C"/>
    <w:rsid w:val="0EFE20DA"/>
    <w:rsid w:val="10686488"/>
    <w:rsid w:val="10770EA0"/>
    <w:rsid w:val="10DF728A"/>
    <w:rsid w:val="1264200E"/>
    <w:rsid w:val="141C5B77"/>
    <w:rsid w:val="18D8339D"/>
    <w:rsid w:val="1A21388F"/>
    <w:rsid w:val="1A570D2F"/>
    <w:rsid w:val="1AC17825"/>
    <w:rsid w:val="1B626CDF"/>
    <w:rsid w:val="27745372"/>
    <w:rsid w:val="28FB0B8D"/>
    <w:rsid w:val="298C61AC"/>
    <w:rsid w:val="2B8E4C06"/>
    <w:rsid w:val="2B955DCE"/>
    <w:rsid w:val="2D2B7942"/>
    <w:rsid w:val="2D46481D"/>
    <w:rsid w:val="2E733B28"/>
    <w:rsid w:val="2E7A2805"/>
    <w:rsid w:val="2F4C6372"/>
    <w:rsid w:val="30787BDB"/>
    <w:rsid w:val="31852B5A"/>
    <w:rsid w:val="32BA630C"/>
    <w:rsid w:val="32D01238"/>
    <w:rsid w:val="38C66253"/>
    <w:rsid w:val="3A2F7C81"/>
    <w:rsid w:val="3B6B2CD7"/>
    <w:rsid w:val="3B7C1ABB"/>
    <w:rsid w:val="3BD7423F"/>
    <w:rsid w:val="3CB340CC"/>
    <w:rsid w:val="3CD905A6"/>
    <w:rsid w:val="3DEA7945"/>
    <w:rsid w:val="3DFC59A8"/>
    <w:rsid w:val="3ECF245E"/>
    <w:rsid w:val="3F3F3CFB"/>
    <w:rsid w:val="3FA35E86"/>
    <w:rsid w:val="3FB96314"/>
    <w:rsid w:val="48050780"/>
    <w:rsid w:val="53A44FAF"/>
    <w:rsid w:val="54CA501B"/>
    <w:rsid w:val="594329EC"/>
    <w:rsid w:val="5A6F7183"/>
    <w:rsid w:val="5BEE1540"/>
    <w:rsid w:val="5C827A6F"/>
    <w:rsid w:val="5DE61A5D"/>
    <w:rsid w:val="5E642D6E"/>
    <w:rsid w:val="5EE33734"/>
    <w:rsid w:val="5F717B48"/>
    <w:rsid w:val="60EB5CFF"/>
    <w:rsid w:val="63C04243"/>
    <w:rsid w:val="649C01C7"/>
    <w:rsid w:val="699A3F60"/>
    <w:rsid w:val="6B823B6D"/>
    <w:rsid w:val="6C3215EA"/>
    <w:rsid w:val="70D3513B"/>
    <w:rsid w:val="72902E62"/>
    <w:rsid w:val="72C564C3"/>
    <w:rsid w:val="73C61104"/>
    <w:rsid w:val="776452EA"/>
    <w:rsid w:val="77BF207D"/>
    <w:rsid w:val="789E0732"/>
    <w:rsid w:val="78A90683"/>
    <w:rsid w:val="78BC1E4A"/>
    <w:rsid w:val="79C929E8"/>
    <w:rsid w:val="7CEF212E"/>
    <w:rsid w:val="7DC663B9"/>
    <w:rsid w:val="7F55672A"/>
    <w:rsid w:val="7F63041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73D"/>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6E273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E27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E27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E273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E273D"/>
    <w:pPr>
      <w:ind w:leftChars="2500" w:left="100"/>
    </w:pPr>
  </w:style>
  <w:style w:type="paragraph" w:styleId="a4">
    <w:name w:val="Balloon Text"/>
    <w:basedOn w:val="a"/>
    <w:link w:val="Char0"/>
    <w:uiPriority w:val="99"/>
    <w:semiHidden/>
    <w:unhideWhenUsed/>
    <w:qFormat/>
    <w:rsid w:val="006E273D"/>
    <w:rPr>
      <w:sz w:val="18"/>
      <w:szCs w:val="18"/>
    </w:rPr>
  </w:style>
  <w:style w:type="paragraph" w:styleId="a5">
    <w:name w:val="footer"/>
    <w:basedOn w:val="a"/>
    <w:link w:val="Char1"/>
    <w:uiPriority w:val="99"/>
    <w:unhideWhenUsed/>
    <w:qFormat/>
    <w:rsid w:val="006E273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6E27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6E273D"/>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6E273D"/>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6E273D"/>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6E273D"/>
    <w:rPr>
      <w:sz w:val="18"/>
      <w:szCs w:val="18"/>
    </w:rPr>
  </w:style>
  <w:style w:type="character" w:customStyle="1" w:styleId="Char1">
    <w:name w:val="页脚 Char"/>
    <w:basedOn w:val="a0"/>
    <w:link w:val="a5"/>
    <w:uiPriority w:val="99"/>
    <w:qFormat/>
    <w:rsid w:val="006E273D"/>
    <w:rPr>
      <w:sz w:val="18"/>
      <w:szCs w:val="18"/>
    </w:rPr>
  </w:style>
  <w:style w:type="paragraph" w:styleId="aa">
    <w:name w:val="No Spacing"/>
    <w:link w:val="Char5"/>
    <w:uiPriority w:val="1"/>
    <w:qFormat/>
    <w:rsid w:val="006E273D"/>
    <w:pPr>
      <w:spacing w:after="160" w:line="480" w:lineRule="auto"/>
    </w:pPr>
    <w:rPr>
      <w:sz w:val="22"/>
      <w:szCs w:val="22"/>
    </w:rPr>
  </w:style>
  <w:style w:type="character" w:customStyle="1" w:styleId="Char5">
    <w:name w:val="无间隔 Char"/>
    <w:basedOn w:val="a0"/>
    <w:link w:val="aa"/>
    <w:uiPriority w:val="1"/>
    <w:qFormat/>
    <w:rsid w:val="006E273D"/>
    <w:rPr>
      <w:kern w:val="0"/>
      <w:sz w:val="22"/>
    </w:rPr>
  </w:style>
  <w:style w:type="character" w:customStyle="1" w:styleId="Char0">
    <w:name w:val="批注框文本 Char"/>
    <w:basedOn w:val="a0"/>
    <w:link w:val="a4"/>
    <w:uiPriority w:val="99"/>
    <w:semiHidden/>
    <w:qFormat/>
    <w:rsid w:val="006E273D"/>
    <w:rPr>
      <w:rFonts w:ascii="Times New Roman" w:eastAsia="宋体" w:hAnsi="Times New Roman" w:cs="Times New Roman"/>
      <w:sz w:val="18"/>
      <w:szCs w:val="18"/>
    </w:rPr>
  </w:style>
  <w:style w:type="character" w:customStyle="1" w:styleId="Char4">
    <w:name w:val="标题 Char"/>
    <w:basedOn w:val="a0"/>
    <w:link w:val="a8"/>
    <w:uiPriority w:val="10"/>
    <w:qFormat/>
    <w:rsid w:val="006E273D"/>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6E273D"/>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6E273D"/>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6E273D"/>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6E273D"/>
    <w:rPr>
      <w:rFonts w:asciiTheme="minorHAnsi" w:eastAsiaTheme="minorEastAsia" w:hAnsiTheme="minorEastAsia" w:cstheme="minorBidi"/>
      <w:szCs w:val="22"/>
      <w:lang w:eastAsia="zh-CN"/>
    </w:rPr>
  </w:style>
  <w:style w:type="character" w:customStyle="1" w:styleId="Style4">
    <w:name w:val="Style4"/>
    <w:basedOn w:val="a0"/>
    <w:uiPriority w:val="1"/>
    <w:qFormat/>
    <w:rsid w:val="006E273D"/>
    <w:rPr>
      <w:rFonts w:asciiTheme="minorHAnsi" w:eastAsiaTheme="minorEastAsia" w:hAnsiTheme="minorEastAsia" w:cstheme="minorBidi"/>
      <w:szCs w:val="22"/>
      <w:lang w:eastAsia="zh-CN"/>
    </w:rPr>
  </w:style>
  <w:style w:type="character" w:customStyle="1" w:styleId="Style5">
    <w:name w:val="Style5"/>
    <w:basedOn w:val="a0"/>
    <w:uiPriority w:val="1"/>
    <w:qFormat/>
    <w:rsid w:val="006E273D"/>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6E273D"/>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6E273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6E273D"/>
    <w:rPr>
      <w:rFonts w:ascii="Times New Roman" w:eastAsia="宋体" w:hAnsi="Times New Roman" w:cs="Times New Roman"/>
      <w:b/>
      <w:bCs/>
      <w:sz w:val="32"/>
      <w:szCs w:val="32"/>
    </w:rPr>
  </w:style>
  <w:style w:type="character" w:customStyle="1" w:styleId="4Char">
    <w:name w:val="标题 4 Char"/>
    <w:basedOn w:val="a0"/>
    <w:link w:val="4"/>
    <w:uiPriority w:val="9"/>
    <w:qFormat/>
    <w:rsid w:val="006E273D"/>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6E273D"/>
    <w:rPr>
      <w:rFonts w:ascii="Times New Roman" w:eastAsia="宋体" w:hAnsi="Times New Roman" w:cs="Times New Roman"/>
      <w:szCs w:val="24"/>
    </w:rPr>
  </w:style>
  <w:style w:type="paragraph" w:styleId="ab">
    <w:name w:val="List Paragraph"/>
    <w:basedOn w:val="a"/>
    <w:uiPriority w:val="99"/>
    <w:unhideWhenUsed/>
    <w:qFormat/>
    <w:rsid w:val="006E273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收入决算结构饼状图</a:t>
            </a:r>
          </a:p>
        </c:rich>
      </c:tx>
      <c:spPr>
        <a:noFill/>
        <a:ln>
          <a:noFill/>
        </a:ln>
        <a:effectLst/>
      </c:spPr>
    </c:title>
    <c:plotArea>
      <c:layout/>
      <c:pieChart>
        <c:varyColors val="1"/>
        <c:ser>
          <c:idx val="0"/>
          <c:order val="0"/>
          <c:tx>
            <c:strRef>
              <c:f>[工作簿1]Sheet1!$C$1</c:f>
              <c:strCache>
                <c:ptCount val="1"/>
                <c:pt idx="0">
                  <c:v>占比例</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cat>
            <c:multiLvlStrRef>
              <c:f>[工作簿1]Sheet1!$A$2:$B$3</c:f>
              <c:multiLvlStrCache>
                <c:ptCount val="2"/>
                <c:lvl>
                  <c:pt idx="0">
                    <c:v>1446.91</c:v>
                  </c:pt>
                  <c:pt idx="1">
                    <c:v>1446.91</c:v>
                  </c:pt>
                </c:lvl>
                <c:lvl>
                  <c:pt idx="0">
                    <c:v>本年收入</c:v>
                  </c:pt>
                  <c:pt idx="1">
                    <c:v>其中:财政拨款收入</c:v>
                  </c:pt>
                </c:lvl>
              </c:multiLvlStrCache>
            </c:multiLvlStrRef>
          </c:cat>
          <c:val>
            <c:numRef>
              <c:f>[工作簿1]Sheet1!$C$2:$C$3</c:f>
              <c:numCache>
                <c:formatCode>0%</c:formatCode>
                <c:ptCount val="2"/>
                <c:pt idx="1">
                  <c:v>1</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支出决算结构饼状图</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multiLvlStrRef>
              <c:f>[工作簿1]Sheet1!$A$24:$B$26</c:f>
              <c:multiLvlStrCache>
                <c:ptCount val="3"/>
                <c:lvl>
                  <c:pt idx="0">
                    <c:v>1464.22万元</c:v>
                  </c:pt>
                  <c:pt idx="1">
                    <c:v>1462.12万元</c:v>
                  </c:pt>
                  <c:pt idx="2">
                    <c:v>2.1万元</c:v>
                  </c:pt>
                </c:lvl>
                <c:lvl>
                  <c:pt idx="0">
                    <c:v>本年支出</c:v>
                  </c:pt>
                  <c:pt idx="1">
                    <c:v>基本支出</c:v>
                  </c:pt>
                  <c:pt idx="2">
                    <c:v>项目支出</c:v>
                  </c:pt>
                </c:lvl>
              </c:multiLvlStrCache>
            </c:multiLvlStrRef>
          </c:cat>
          <c:val>
            <c:numRef>
              <c:f>[工作簿1]Sheet1!$C$24:$C$26</c:f>
              <c:numCache>
                <c:formatCode>0%</c:formatCode>
                <c:ptCount val="3"/>
                <c:pt idx="0">
                  <c:v>1</c:v>
                </c:pt>
                <c:pt idx="1">
                  <c:v>0.99</c:v>
                </c:pt>
                <c:pt idx="2">
                  <c:v>1.0000000000000004E-2</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[工作簿1]Sheet1!$B$1</c:f>
              <c:strCache>
                <c:ptCount val="1"/>
                <c:pt idx="0">
                  <c:v>金额</c:v>
                </c:pt>
              </c:strCache>
            </c:strRef>
          </c:tx>
          <c:spPr>
            <a:solidFill>
              <a:schemeClr val="accent1"/>
            </a:solidFill>
            <a:ln>
              <a:noFill/>
            </a:ln>
            <a:effectLst/>
          </c:spPr>
          <c:cat>
            <c:strRef>
              <c:f>[工作簿1]Sheet1!$A$2:$A$5</c:f>
              <c:strCache>
                <c:ptCount val="4"/>
                <c:pt idx="0">
                  <c:v>2017年一般公共预算财政拨款本年收入</c:v>
                </c:pt>
                <c:pt idx="1">
                  <c:v>2018年一般公共预算财政拨款本年收入</c:v>
                </c:pt>
                <c:pt idx="2">
                  <c:v>2017年一般公共预算财政拨款本年支出</c:v>
                </c:pt>
                <c:pt idx="3">
                  <c:v>2018年一般公共预算财政拨款本年支出</c:v>
                </c:pt>
              </c:strCache>
            </c:strRef>
          </c:cat>
          <c:val>
            <c:numRef>
              <c:f>[工作簿1]Sheet1!$B$2:$B$5</c:f>
              <c:numCache>
                <c:formatCode>General</c:formatCode>
                <c:ptCount val="4"/>
                <c:pt idx="0">
                  <c:v>1299.4000000000001</c:v>
                </c:pt>
                <c:pt idx="1">
                  <c:v>1446.91</c:v>
                </c:pt>
                <c:pt idx="2">
                  <c:v>1422.1399999999999</c:v>
                </c:pt>
                <c:pt idx="3">
                  <c:v>1464.22</c:v>
                </c:pt>
              </c:numCache>
            </c:numRef>
          </c:val>
        </c:ser>
        <c:ser>
          <c:idx val="1"/>
          <c:order val="1"/>
          <c:tx>
            <c:strRef>
              <c:f>[工作簿1]Sheet1!$C$1</c:f>
              <c:strCache>
                <c:ptCount val="1"/>
                <c:pt idx="0">
                  <c:v>增长额</c:v>
                </c:pt>
              </c:strCache>
            </c:strRef>
          </c:tx>
          <c:spPr>
            <a:solidFill>
              <a:schemeClr val="accent2"/>
            </a:solidFill>
            <a:ln>
              <a:noFill/>
            </a:ln>
            <a:effectLst/>
          </c:spPr>
          <c:cat>
            <c:strRef>
              <c:f>[工作簿1]Sheet1!$A$2:$A$5</c:f>
              <c:strCache>
                <c:ptCount val="4"/>
                <c:pt idx="0">
                  <c:v>2017年一般公共预算财政拨款本年收入</c:v>
                </c:pt>
                <c:pt idx="1">
                  <c:v>2018年一般公共预算财政拨款本年收入</c:v>
                </c:pt>
                <c:pt idx="2">
                  <c:v>2017年一般公共预算财政拨款本年支出</c:v>
                </c:pt>
                <c:pt idx="3">
                  <c:v>2018年一般公共预算财政拨款本年支出</c:v>
                </c:pt>
              </c:strCache>
            </c:strRef>
          </c:cat>
          <c:val>
            <c:numRef>
              <c:f>[工作簿1]Sheet1!$C$2:$C$5</c:f>
              <c:numCache>
                <c:formatCode>General</c:formatCode>
                <c:ptCount val="4"/>
                <c:pt idx="1">
                  <c:v>147.51</c:v>
                </c:pt>
                <c:pt idx="3">
                  <c:v>42.08</c:v>
                </c:pt>
              </c:numCache>
            </c:numRef>
          </c:val>
        </c:ser>
        <c:ser>
          <c:idx val="2"/>
          <c:order val="2"/>
          <c:tx>
            <c:strRef>
              <c:f>[工作簿1]Sheet1!$D$1</c:f>
              <c:strCache>
                <c:ptCount val="1"/>
                <c:pt idx="0">
                  <c:v>增长率</c:v>
                </c:pt>
              </c:strCache>
            </c:strRef>
          </c:tx>
          <c:spPr>
            <a:solidFill>
              <a:schemeClr val="accent3"/>
            </a:solidFill>
            <a:ln>
              <a:noFill/>
            </a:ln>
            <a:effectLst/>
          </c:spPr>
          <c:cat>
            <c:strRef>
              <c:f>[工作簿1]Sheet1!$A$2:$A$5</c:f>
              <c:strCache>
                <c:ptCount val="4"/>
                <c:pt idx="0">
                  <c:v>2017年一般公共预算财政拨款本年收入</c:v>
                </c:pt>
                <c:pt idx="1">
                  <c:v>2018年一般公共预算财政拨款本年收入</c:v>
                </c:pt>
                <c:pt idx="2">
                  <c:v>2017年一般公共预算财政拨款本年支出</c:v>
                </c:pt>
                <c:pt idx="3">
                  <c:v>2018年一般公共预算财政拨款本年支出</c:v>
                </c:pt>
              </c:strCache>
            </c:strRef>
          </c:cat>
          <c:val>
            <c:numRef>
              <c:f>[工作簿1]Sheet1!$D$2:$D$5</c:f>
              <c:numCache>
                <c:formatCode>0%</c:formatCode>
                <c:ptCount val="4"/>
                <c:pt idx="1">
                  <c:v>0.1</c:v>
                </c:pt>
                <c:pt idx="3">
                  <c:v>3.0000000000000002E-2</c:v>
                </c:pt>
              </c:numCache>
            </c:numRef>
          </c:val>
        </c:ser>
        <c:gapWidth val="219"/>
        <c:overlap val="-27"/>
        <c:axId val="166642432"/>
        <c:axId val="166643968"/>
      </c:barChart>
      <c:catAx>
        <c:axId val="166642432"/>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6643968"/>
        <c:crosses val="autoZero"/>
        <c:auto val="1"/>
        <c:lblAlgn val="ctr"/>
        <c:lblOffset val="100"/>
      </c:catAx>
      <c:valAx>
        <c:axId val="1666439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6642432"/>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spPr>
            <a:solidFill>
              <a:schemeClr val="accent1"/>
            </a:solidFill>
            <a:ln>
              <a:noFill/>
            </a:ln>
            <a:effectLst/>
          </c:spPr>
          <c:cat>
            <c:strRef>
              <c:f>[工作簿1]Sheet1!$A$30:$H$30</c:f>
              <c:strCache>
                <c:ptCount val="8"/>
                <c:pt idx="0">
                  <c:v>本年收入</c:v>
                </c:pt>
                <c:pt idx="1">
                  <c:v>年初预算</c:v>
                </c:pt>
                <c:pt idx="2">
                  <c:v>增长额</c:v>
                </c:pt>
                <c:pt idx="3">
                  <c:v>增长率</c:v>
                </c:pt>
                <c:pt idx="4">
                  <c:v>本年支出</c:v>
                </c:pt>
                <c:pt idx="5">
                  <c:v>年初预算</c:v>
                </c:pt>
                <c:pt idx="6">
                  <c:v>增长额</c:v>
                </c:pt>
                <c:pt idx="7">
                  <c:v>增长率</c:v>
                </c:pt>
              </c:strCache>
            </c:strRef>
          </c:cat>
          <c:val>
            <c:numRef>
              <c:f>[工作簿1]Sheet1!$A$31:$H$31</c:f>
              <c:numCache>
                <c:formatCode>General</c:formatCode>
                <c:ptCount val="8"/>
                <c:pt idx="0">
                  <c:v>1446.91</c:v>
                </c:pt>
                <c:pt idx="1">
                  <c:v>1287.1599999999999</c:v>
                </c:pt>
                <c:pt idx="2">
                  <c:v>159.75</c:v>
                </c:pt>
                <c:pt idx="3" formatCode="0%">
                  <c:v>1.1200000000000001</c:v>
                </c:pt>
                <c:pt idx="4">
                  <c:v>1464.22</c:v>
                </c:pt>
                <c:pt idx="5">
                  <c:v>1287.1599999999999</c:v>
                </c:pt>
                <c:pt idx="6">
                  <c:v>177.06</c:v>
                </c:pt>
                <c:pt idx="7" formatCode="0%">
                  <c:v>1.1300000000000001</c:v>
                </c:pt>
              </c:numCache>
            </c:numRef>
          </c:val>
        </c:ser>
        <c:gapWidth val="219"/>
        <c:overlap val="-27"/>
        <c:axId val="166463744"/>
        <c:axId val="166469632"/>
      </c:barChart>
      <c:catAx>
        <c:axId val="16646374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6469632"/>
        <c:crosses val="autoZero"/>
        <c:auto val="1"/>
        <c:lblAlgn val="ctr"/>
        <c:lblOffset val="100"/>
      </c:catAx>
      <c:valAx>
        <c:axId val="1664696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64637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[工作簿1]Sheet1!$B$45</c:f>
              <c:strCache>
                <c:ptCount val="1"/>
                <c:pt idx="0">
                  <c:v>金额</c:v>
                </c:pt>
              </c:strCache>
            </c:strRef>
          </c:tx>
          <c:spPr>
            <a:solidFill>
              <a:schemeClr val="accent1"/>
            </a:solidFill>
            <a:ln>
              <a:noFill/>
            </a:ln>
            <a:effectLst/>
          </c:spPr>
          <c:cat>
            <c:strRef>
              <c:f>[工作簿1]Sheet1!$A$46:$A$50</c:f>
              <c:strCache>
                <c:ptCount val="5"/>
                <c:pt idx="0">
                  <c:v>2018 年度财政拨款支出</c:v>
                </c:pt>
                <c:pt idx="1">
                  <c:v>其中：一般公共服务（类）支出</c:v>
                </c:pt>
                <c:pt idx="2">
                  <c:v>社会保障和就业（类）支出</c:v>
                </c:pt>
                <c:pt idx="3">
                  <c:v>医疗卫生与计划生育支出</c:v>
                </c:pt>
                <c:pt idx="4">
                  <c:v>住房保障（类）支出</c:v>
                </c:pt>
              </c:strCache>
            </c:strRef>
          </c:cat>
          <c:val>
            <c:numRef>
              <c:f>[工作簿1]Sheet1!$B$46:$B$50</c:f>
              <c:numCache>
                <c:formatCode>General</c:formatCode>
                <c:ptCount val="5"/>
                <c:pt idx="0">
                  <c:v>0</c:v>
                </c:pt>
                <c:pt idx="1">
                  <c:v>1293.1299999999999</c:v>
                </c:pt>
                <c:pt idx="2">
                  <c:v>86.86999999999999</c:v>
                </c:pt>
                <c:pt idx="3">
                  <c:v>32.090000000000003</c:v>
                </c:pt>
                <c:pt idx="4">
                  <c:v>52.14</c:v>
                </c:pt>
              </c:numCache>
            </c:numRef>
          </c:val>
        </c:ser>
        <c:ser>
          <c:idx val="1"/>
          <c:order val="1"/>
          <c:tx>
            <c:strRef>
              <c:f>[工作簿1]Sheet1!$C$45</c:f>
              <c:strCache>
                <c:ptCount val="1"/>
                <c:pt idx="0">
                  <c:v>占比率</c:v>
                </c:pt>
              </c:strCache>
            </c:strRef>
          </c:tx>
          <c:spPr>
            <a:solidFill>
              <a:schemeClr val="accent2"/>
            </a:solidFill>
            <a:ln>
              <a:noFill/>
            </a:ln>
            <a:effectLst/>
          </c:spPr>
          <c:cat>
            <c:strRef>
              <c:f>[工作簿1]Sheet1!$A$46:$A$50</c:f>
              <c:strCache>
                <c:ptCount val="5"/>
                <c:pt idx="0">
                  <c:v>2018 年度财政拨款支出</c:v>
                </c:pt>
                <c:pt idx="1">
                  <c:v>其中：一般公共服务（类）支出</c:v>
                </c:pt>
                <c:pt idx="2">
                  <c:v>社会保障和就业（类）支出</c:v>
                </c:pt>
                <c:pt idx="3">
                  <c:v>医疗卫生与计划生育支出</c:v>
                </c:pt>
                <c:pt idx="4">
                  <c:v>住房保障（类）支出</c:v>
                </c:pt>
              </c:strCache>
            </c:strRef>
          </c:cat>
          <c:val>
            <c:numRef>
              <c:f>[工作簿1]Sheet1!$C$46:$C$50</c:f>
              <c:numCache>
                <c:formatCode>0%</c:formatCode>
                <c:ptCount val="5"/>
                <c:pt idx="1">
                  <c:v>0.88</c:v>
                </c:pt>
                <c:pt idx="2">
                  <c:v>6.0000000000000019E-2</c:v>
                </c:pt>
                <c:pt idx="3">
                  <c:v>2.0000000000000007E-2</c:v>
                </c:pt>
                <c:pt idx="4">
                  <c:v>4.0000000000000015E-2</c:v>
                </c:pt>
              </c:numCache>
            </c:numRef>
          </c:val>
        </c:ser>
        <c:gapWidth val="219"/>
        <c:overlap val="-27"/>
        <c:axId val="166605184"/>
        <c:axId val="166606720"/>
      </c:barChart>
      <c:catAx>
        <c:axId val="16660518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6606720"/>
        <c:crosses val="autoZero"/>
        <c:auto val="1"/>
        <c:lblAlgn val="ctr"/>
        <c:lblOffset val="100"/>
      </c:catAx>
      <c:valAx>
        <c:axId val="1666067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660518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CAF2C48-E712-45D7-AEE7-14AA433F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35</Pages>
  <Words>2142</Words>
  <Characters>12210</Characters>
  <Application>Microsoft Office Word</Application>
  <DocSecurity>0</DocSecurity>
  <Lines>101</Lines>
  <Paragraphs>28</Paragraphs>
  <ScaleCrop>false</ScaleCrop>
  <Company>Microsoft</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XJ1</cp:lastModifiedBy>
  <cp:revision>24</cp:revision>
  <cp:lastPrinted>2019-09-27T00:42:00Z</cp:lastPrinted>
  <dcterms:created xsi:type="dcterms:W3CDTF">2019-09-26T01:09:00Z</dcterms:created>
  <dcterms:modified xsi:type="dcterms:W3CDTF">2024-01-02T07:14:00Z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